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4344C" w14:textId="77777777" w:rsidR="00E92782" w:rsidRPr="00401902" w:rsidRDefault="00E92782" w:rsidP="008250E8"/>
    <w:p w14:paraId="5FA72498" w14:textId="77777777" w:rsidR="00C255A9" w:rsidRPr="00401902" w:rsidRDefault="00C255A9" w:rsidP="00CE3600">
      <w:pPr>
        <w:jc w:val="center"/>
        <w:rPr>
          <w:b/>
          <w:sz w:val="28"/>
          <w:szCs w:val="56"/>
        </w:rPr>
      </w:pPr>
    </w:p>
    <w:p w14:paraId="2A33C505" w14:textId="77777777" w:rsidR="001C7A67" w:rsidRPr="00401902" w:rsidRDefault="00595B01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Pr="00392C65">
        <w:rPr>
          <w:b/>
          <w:sz w:val="56"/>
          <w:szCs w:val="56"/>
        </w:rPr>
        <w:br/>
        <w:t xml:space="preserve">PRO </w:t>
      </w:r>
      <w:r>
        <w:rPr>
          <w:b/>
          <w:sz w:val="56"/>
          <w:szCs w:val="56"/>
        </w:rPr>
        <w:t>PROVEDENÍ STAVBY</w:t>
      </w:r>
    </w:p>
    <w:p w14:paraId="1F1A1694" w14:textId="77777777" w:rsidR="0041751A" w:rsidRPr="00401902" w:rsidRDefault="0041751A" w:rsidP="008250E8">
      <w:pPr>
        <w:rPr>
          <w:sz w:val="12"/>
        </w:rPr>
      </w:pPr>
    </w:p>
    <w:p w14:paraId="46E0E35D" w14:textId="77777777" w:rsidR="007F3FCA" w:rsidRPr="001558B6" w:rsidRDefault="007F3FCA" w:rsidP="007F3FCA">
      <w:pPr>
        <w:spacing w:after="0"/>
        <w:ind w:firstLine="0"/>
        <w:rPr>
          <w:b/>
          <w:color w:val="FF0000"/>
          <w:sz w:val="32"/>
          <w:szCs w:val="32"/>
        </w:rPr>
      </w:pPr>
      <w:r w:rsidRPr="001558B6">
        <w:rPr>
          <w:b/>
          <w:color w:val="FF0000"/>
          <w:sz w:val="32"/>
          <w:szCs w:val="32"/>
        </w:rPr>
        <w:t>Investor:</w:t>
      </w:r>
    </w:p>
    <w:p w14:paraId="3C7F3815" w14:textId="77777777" w:rsidR="007F3FCA" w:rsidRDefault="007F3FCA" w:rsidP="007F3FCA">
      <w:pPr>
        <w:spacing w:after="0"/>
        <w:ind w:firstLine="0"/>
        <w:rPr>
          <w:b/>
          <w:sz w:val="32"/>
          <w:szCs w:val="32"/>
        </w:rPr>
      </w:pPr>
      <w:r w:rsidRPr="00D90057">
        <w:rPr>
          <w:b/>
          <w:sz w:val="32"/>
          <w:szCs w:val="32"/>
        </w:rPr>
        <w:t>Město Nejdek</w:t>
      </w:r>
      <w:r>
        <w:rPr>
          <w:b/>
          <w:sz w:val="32"/>
          <w:szCs w:val="32"/>
        </w:rPr>
        <w:t xml:space="preserve">, </w:t>
      </w:r>
      <w:r w:rsidRPr="00D90057">
        <w:rPr>
          <w:b/>
          <w:sz w:val="32"/>
          <w:szCs w:val="32"/>
        </w:rPr>
        <w:t>Karla IV. 239, 362 21 Nejdek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</w:rPr>
        <w:br/>
      </w:r>
      <w:r w:rsidRPr="001558B6">
        <w:rPr>
          <w:b/>
          <w:color w:val="FF0000"/>
          <w:sz w:val="32"/>
          <w:szCs w:val="32"/>
        </w:rPr>
        <w:t>Akce:</w:t>
      </w:r>
      <w:r w:rsidRPr="001558B6">
        <w:rPr>
          <w:b/>
          <w:color w:val="FF0000"/>
          <w:sz w:val="32"/>
          <w:szCs w:val="32"/>
        </w:rPr>
        <w:br/>
      </w:r>
      <w:r w:rsidRPr="00D90057">
        <w:rPr>
          <w:b/>
          <w:sz w:val="32"/>
          <w:szCs w:val="32"/>
        </w:rPr>
        <w:t>MUZEUM NEJDEK - oprava a stavební úpravy</w:t>
      </w:r>
      <w:r>
        <w:rPr>
          <w:b/>
          <w:sz w:val="32"/>
          <w:szCs w:val="32"/>
        </w:rPr>
        <w:br/>
      </w:r>
    </w:p>
    <w:p w14:paraId="77975A89" w14:textId="77777777" w:rsidR="007F3FCA" w:rsidRDefault="007F3FCA" w:rsidP="007F3FCA">
      <w:pPr>
        <w:spacing w:after="0"/>
        <w:ind w:firstLine="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Místo stavby:</w:t>
      </w:r>
    </w:p>
    <w:p w14:paraId="047942F8" w14:textId="77777777" w:rsidR="007F3FCA" w:rsidRDefault="007F3FCA" w:rsidP="007F3FCA">
      <w:pPr>
        <w:spacing w:after="0"/>
        <w:ind w:firstLine="0"/>
        <w:rPr>
          <w:b/>
          <w:sz w:val="32"/>
          <w:szCs w:val="32"/>
        </w:rPr>
      </w:pPr>
      <w:r w:rsidRPr="00D90057">
        <w:rPr>
          <w:b/>
          <w:sz w:val="32"/>
          <w:szCs w:val="32"/>
        </w:rPr>
        <w:t>nám. Karla IV. 238, 362 21 Nejdek, parc. č. 121/1, k. ú. Nejdek</w:t>
      </w:r>
      <w:r>
        <w:rPr>
          <w:b/>
          <w:sz w:val="32"/>
          <w:szCs w:val="32"/>
        </w:rPr>
        <w:br/>
      </w:r>
    </w:p>
    <w:p w14:paraId="3B0AC7AF" w14:textId="77777777" w:rsidR="007F3FCA" w:rsidRPr="001558B6" w:rsidRDefault="007F3FCA" w:rsidP="007F3FCA">
      <w:pPr>
        <w:spacing w:after="0"/>
        <w:ind w:firstLine="0"/>
        <w:rPr>
          <w:b/>
          <w:color w:val="FF0000"/>
          <w:sz w:val="32"/>
          <w:szCs w:val="32"/>
        </w:rPr>
      </w:pPr>
      <w:r w:rsidRPr="001558B6">
        <w:rPr>
          <w:b/>
          <w:color w:val="FF0000"/>
          <w:sz w:val="32"/>
          <w:szCs w:val="32"/>
        </w:rPr>
        <w:t>Část:</w:t>
      </w:r>
    </w:p>
    <w:p w14:paraId="279B6921" w14:textId="77777777" w:rsidR="007F3FCA" w:rsidRDefault="007F3FCA" w:rsidP="007F3FCA">
      <w:pPr>
        <w:spacing w:after="0"/>
        <w:ind w:firstLine="0"/>
        <w:rPr>
          <w:b/>
          <w:sz w:val="32"/>
          <w:szCs w:val="32"/>
        </w:rPr>
      </w:pPr>
      <w:r w:rsidRPr="000A6BA1">
        <w:rPr>
          <w:b/>
          <w:sz w:val="32"/>
          <w:szCs w:val="32"/>
        </w:rPr>
        <w:t>D.1.4.7 Elektronické komunikace</w:t>
      </w:r>
      <w:r>
        <w:rPr>
          <w:b/>
          <w:sz w:val="32"/>
          <w:szCs w:val="32"/>
        </w:rPr>
        <w:br/>
        <w:t>Lokální detekce požáru</w:t>
      </w:r>
    </w:p>
    <w:p w14:paraId="101CE7B0" w14:textId="77777777" w:rsidR="0062109C" w:rsidRDefault="0062109C" w:rsidP="0096556E">
      <w:pPr>
        <w:ind w:firstLine="0"/>
        <w:rPr>
          <w:b/>
          <w:sz w:val="56"/>
          <w:szCs w:val="56"/>
        </w:rPr>
      </w:pPr>
    </w:p>
    <w:p w14:paraId="3FF11677" w14:textId="77777777" w:rsidR="00601B44" w:rsidRPr="00401902" w:rsidRDefault="00601B44" w:rsidP="0096556E">
      <w:pPr>
        <w:ind w:firstLine="0"/>
        <w:rPr>
          <w:b/>
          <w:sz w:val="56"/>
          <w:szCs w:val="56"/>
        </w:rPr>
      </w:pPr>
      <w:r w:rsidRPr="00401902">
        <w:rPr>
          <w:b/>
          <w:sz w:val="56"/>
          <w:szCs w:val="56"/>
        </w:rPr>
        <w:t xml:space="preserve">Technická zpráva </w:t>
      </w:r>
    </w:p>
    <w:p w14:paraId="1EF7B0AB" w14:textId="77777777" w:rsidR="00601B44" w:rsidRPr="00401902" w:rsidRDefault="00601B44" w:rsidP="0096556E">
      <w:pPr>
        <w:ind w:firstLine="0"/>
        <w:rPr>
          <w:b/>
          <w:sz w:val="56"/>
          <w:szCs w:val="56"/>
        </w:rPr>
      </w:pPr>
      <w:r w:rsidRPr="00401902">
        <w:rPr>
          <w:b/>
          <w:sz w:val="56"/>
          <w:szCs w:val="56"/>
        </w:rPr>
        <w:t>slaboproudých systémů</w:t>
      </w:r>
    </w:p>
    <w:p w14:paraId="1F415701" w14:textId="77777777" w:rsidR="00F25596" w:rsidRPr="00401902" w:rsidRDefault="00436829" w:rsidP="0096556E">
      <w:pPr>
        <w:ind w:firstLine="0"/>
        <w:rPr>
          <w:b/>
          <w:sz w:val="24"/>
          <w:szCs w:val="56"/>
        </w:rPr>
      </w:pPr>
      <w:r>
        <w:rPr>
          <w:b/>
          <w:sz w:val="24"/>
          <w:szCs w:val="56"/>
        </w:rPr>
        <w:t>01</w:t>
      </w:r>
    </w:p>
    <w:p w14:paraId="28B394C3" w14:textId="77777777" w:rsidR="002904F6" w:rsidRPr="00401902" w:rsidRDefault="008964EB" w:rsidP="008964EB">
      <w:pPr>
        <w:tabs>
          <w:tab w:val="left" w:pos="1230"/>
        </w:tabs>
        <w:ind w:firstLine="0"/>
        <w:rPr>
          <w:b/>
          <w:szCs w:val="56"/>
        </w:rPr>
      </w:pPr>
      <w:r w:rsidRPr="00401902">
        <w:rPr>
          <w:b/>
          <w:szCs w:val="56"/>
        </w:rPr>
        <w:tab/>
      </w:r>
    </w:p>
    <w:p w14:paraId="0C5EB6B0" w14:textId="77777777" w:rsidR="00601B44" w:rsidRPr="00401902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401902">
        <w:rPr>
          <w:b/>
          <w:sz w:val="32"/>
          <w:szCs w:val="32"/>
        </w:rPr>
        <w:t>Autorizoval:</w:t>
      </w:r>
      <w:r w:rsidRPr="00401902">
        <w:rPr>
          <w:b/>
          <w:sz w:val="32"/>
          <w:szCs w:val="32"/>
        </w:rPr>
        <w:tab/>
      </w:r>
      <w:hyperlink r:id="rId8" w:history="1">
        <w:r w:rsidR="005E4EB2" w:rsidRPr="00401902">
          <w:rPr>
            <w:rStyle w:val="Hypertextovodkaz"/>
            <w:color w:val="auto"/>
            <w:sz w:val="32"/>
            <w:szCs w:val="32"/>
            <w:u w:val="none"/>
          </w:rPr>
          <w:t>Jan BERAN</w:t>
        </w:r>
      </w:hyperlink>
    </w:p>
    <w:p w14:paraId="28933A1B" w14:textId="77777777" w:rsidR="00601B44" w:rsidRPr="00401902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401902">
        <w:rPr>
          <w:b/>
          <w:sz w:val="32"/>
          <w:szCs w:val="32"/>
        </w:rPr>
        <w:t xml:space="preserve">Projektant: </w:t>
      </w:r>
      <w:r w:rsidRPr="00401902">
        <w:rPr>
          <w:b/>
          <w:sz w:val="32"/>
          <w:szCs w:val="32"/>
        </w:rPr>
        <w:tab/>
      </w:r>
      <w:hyperlink r:id="rId9" w:history="1">
        <w:r w:rsidRPr="00401902">
          <w:rPr>
            <w:rStyle w:val="Hypertextovodkaz"/>
            <w:color w:val="auto"/>
            <w:sz w:val="32"/>
            <w:szCs w:val="32"/>
            <w:u w:val="none"/>
          </w:rPr>
          <w:t>Jan BERAN</w:t>
        </w:r>
      </w:hyperlink>
    </w:p>
    <w:p w14:paraId="3328F22E" w14:textId="77777777" w:rsidR="00C13E07" w:rsidRPr="00401902" w:rsidRDefault="00601B44" w:rsidP="005E152C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  <w:sectPr w:rsidR="00C13E07" w:rsidRPr="00401902" w:rsidSect="00E92782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01902">
        <w:rPr>
          <w:b/>
          <w:sz w:val="32"/>
          <w:szCs w:val="32"/>
        </w:rPr>
        <w:t>Zakázka:</w:t>
      </w:r>
      <w:r w:rsidR="008964EB" w:rsidRPr="00401902">
        <w:rPr>
          <w:sz w:val="32"/>
          <w:szCs w:val="32"/>
        </w:rPr>
        <w:tab/>
        <w:t>ZK</w:t>
      </w:r>
      <w:r w:rsidR="005D01A0">
        <w:rPr>
          <w:sz w:val="32"/>
          <w:szCs w:val="32"/>
        </w:rPr>
        <w:t>P</w:t>
      </w:r>
      <w:r w:rsidR="00436829">
        <w:rPr>
          <w:sz w:val="32"/>
          <w:szCs w:val="32"/>
        </w:rPr>
        <w:t>190</w:t>
      </w:r>
      <w:r w:rsidR="007F3FCA">
        <w:rPr>
          <w:sz w:val="32"/>
          <w:szCs w:val="32"/>
        </w:rPr>
        <w:t>29</w:t>
      </w:r>
    </w:p>
    <w:p w14:paraId="44DF966B" w14:textId="77777777" w:rsidR="00993E3E" w:rsidRPr="00401902" w:rsidRDefault="00993E3E" w:rsidP="005E152C"/>
    <w:p w14:paraId="509A5A31" w14:textId="77777777" w:rsidR="00993E3E" w:rsidRPr="00401902" w:rsidRDefault="00993E3E" w:rsidP="005E152C"/>
    <w:p w14:paraId="4C82E30A" w14:textId="77777777" w:rsidR="005E152C" w:rsidRPr="001048DE" w:rsidRDefault="005E152C" w:rsidP="001048DE">
      <w:pPr>
        <w:pStyle w:val="Nadpis1"/>
      </w:pPr>
      <w:r w:rsidRPr="001048DE">
        <w:t xml:space="preserve">Popis akce </w:t>
      </w:r>
    </w:p>
    <w:p w14:paraId="544CDD49" w14:textId="77777777" w:rsidR="00255051" w:rsidRDefault="00255051" w:rsidP="005E152C">
      <w:pPr>
        <w:spacing w:after="0"/>
        <w:jc w:val="both"/>
        <w:rPr>
          <w:rFonts w:cs="Arial"/>
        </w:rPr>
      </w:pPr>
      <w:r>
        <w:rPr>
          <w:rFonts w:cs="Arial"/>
        </w:rPr>
        <w:t>Projektová dokumentace se zabývá návrhem</w:t>
      </w:r>
      <w:r w:rsidR="00436829">
        <w:rPr>
          <w:rFonts w:cs="Arial"/>
        </w:rPr>
        <w:t xml:space="preserve"> autonomní </w:t>
      </w:r>
      <w:r>
        <w:rPr>
          <w:rFonts w:cs="Arial"/>
        </w:rPr>
        <w:t>lokální detekce požáru na akci</w:t>
      </w:r>
      <w:r w:rsidR="007F3FCA">
        <w:rPr>
          <w:rFonts w:cs="Arial"/>
        </w:rPr>
        <w:t>:</w:t>
      </w:r>
      <w:r>
        <w:rPr>
          <w:rFonts w:cs="Arial"/>
        </w:rPr>
        <w:t xml:space="preserve"> </w:t>
      </w:r>
      <w:r w:rsidRPr="007F3FCA">
        <w:rPr>
          <w:rFonts w:cs="Arial"/>
          <w:i/>
          <w:iCs/>
        </w:rPr>
        <w:t>„</w:t>
      </w:r>
      <w:r w:rsidR="007F3FCA" w:rsidRPr="007F3FCA">
        <w:rPr>
          <w:rFonts w:cs="Arial"/>
          <w:i/>
          <w:iCs/>
        </w:rPr>
        <w:t>MUZEUM NEJDEK - oprava a stavební úpravy</w:t>
      </w:r>
      <w:r w:rsidRPr="007F3FCA">
        <w:rPr>
          <w:rFonts w:cs="Arial"/>
          <w:i/>
          <w:iCs/>
        </w:rPr>
        <w:t>“</w:t>
      </w:r>
      <w:r>
        <w:rPr>
          <w:rFonts w:cs="Arial"/>
        </w:rPr>
        <w:t>. Jedná se o rekonstrukci</w:t>
      </w:r>
      <w:r w:rsidR="00A27F6D">
        <w:rPr>
          <w:rFonts w:cs="Arial"/>
        </w:rPr>
        <w:t xml:space="preserve"> </w:t>
      </w:r>
      <w:r>
        <w:rPr>
          <w:rFonts w:cs="Arial"/>
        </w:rPr>
        <w:t>vícepodlažního objektu</w:t>
      </w:r>
      <w:r w:rsidR="007F3FCA">
        <w:rPr>
          <w:rFonts w:cs="Arial"/>
        </w:rPr>
        <w:t xml:space="preserve"> s jedním podzemním a třemi nadzemními podlažími. Účel objektu a jeho částí se nemění</w:t>
      </w:r>
      <w:r w:rsidR="00436829">
        <w:rPr>
          <w:rFonts w:cs="Arial"/>
        </w:rPr>
        <w:t>.</w:t>
      </w:r>
      <w:r w:rsidR="007F3FCA">
        <w:rPr>
          <w:rFonts w:cs="Arial"/>
        </w:rPr>
        <w:t xml:space="preserve"> V objektu je nařízena instalace lokální detekce požáru, protože se jedná o nemovitou kulturní památku</w:t>
      </w:r>
      <w:r w:rsidR="00436829">
        <w:rPr>
          <w:rFonts w:cs="Arial"/>
        </w:rPr>
        <w:t>.</w:t>
      </w:r>
      <w:r>
        <w:rPr>
          <w:rFonts w:cs="Arial"/>
        </w:rPr>
        <w:t xml:space="preserve"> </w:t>
      </w:r>
    </w:p>
    <w:p w14:paraId="23D20D84" w14:textId="77777777" w:rsidR="005E152C" w:rsidRPr="001048DE" w:rsidRDefault="005E152C" w:rsidP="001048DE">
      <w:pPr>
        <w:pStyle w:val="Nadpis2"/>
      </w:pPr>
      <w:r w:rsidRPr="001048DE">
        <w:t xml:space="preserve">Podklady </w:t>
      </w:r>
    </w:p>
    <w:p w14:paraId="4C5D4C2E" w14:textId="77777777" w:rsidR="005E152C" w:rsidRDefault="001048DE" w:rsidP="005E152C">
      <w:pPr>
        <w:spacing w:after="0"/>
        <w:ind w:left="142"/>
        <w:jc w:val="both"/>
        <w:rPr>
          <w:rFonts w:cs="Arial"/>
        </w:rPr>
      </w:pPr>
      <w:r>
        <w:rPr>
          <w:rFonts w:cs="Arial"/>
        </w:rPr>
        <w:t>Pro zpracování projektové dokumentace byly využity následující podklady:</w:t>
      </w:r>
    </w:p>
    <w:p w14:paraId="324068A3" w14:textId="77777777" w:rsidR="001048DE" w:rsidRDefault="00436829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Stavební výkresy – Ing. </w:t>
      </w:r>
      <w:r w:rsidR="00F87411">
        <w:rPr>
          <w:rFonts w:cs="Arial"/>
        </w:rPr>
        <w:t>Volný</w:t>
      </w:r>
      <w:r>
        <w:rPr>
          <w:rFonts w:cs="Arial"/>
        </w:rPr>
        <w:t>,</w:t>
      </w:r>
    </w:p>
    <w:p w14:paraId="6BFB0C94" w14:textId="77777777" w:rsidR="001048DE" w:rsidRDefault="001048DE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Požárně bezpečnostní řešení stavby – Ing. I. Charousková, </w:t>
      </w:r>
    </w:p>
    <w:p w14:paraId="191E8207" w14:textId="77777777" w:rsidR="001048DE" w:rsidRPr="001048DE" w:rsidRDefault="001048DE" w:rsidP="001048DE">
      <w:pPr>
        <w:pStyle w:val="Nadpis2"/>
      </w:pPr>
      <w:r>
        <w:t>Navržené technologie</w:t>
      </w:r>
      <w:r w:rsidRPr="001048DE">
        <w:t xml:space="preserve"> </w:t>
      </w:r>
    </w:p>
    <w:p w14:paraId="426F0E8D" w14:textId="77777777" w:rsidR="001048DE" w:rsidRDefault="001048DE" w:rsidP="001048DE">
      <w:pPr>
        <w:spacing w:after="0"/>
        <w:ind w:left="142"/>
        <w:jc w:val="both"/>
        <w:rPr>
          <w:rFonts w:cs="Arial"/>
        </w:rPr>
      </w:pPr>
      <w:r>
        <w:rPr>
          <w:rFonts w:cs="Arial"/>
        </w:rPr>
        <w:t>Projektovou dokumentací jsou řešeny technologie:</w:t>
      </w:r>
    </w:p>
    <w:p w14:paraId="398E000E" w14:textId="77777777" w:rsidR="001048DE" w:rsidRDefault="00436829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Autonomní (lokální)</w:t>
      </w:r>
      <w:r w:rsidR="001048DE">
        <w:rPr>
          <w:rFonts w:cs="Arial"/>
        </w:rPr>
        <w:t xml:space="preserve"> detekce požáru</w:t>
      </w:r>
      <w:r w:rsidR="004867BC">
        <w:rPr>
          <w:rFonts w:cs="Arial"/>
        </w:rPr>
        <w:t xml:space="preserve"> (LDP)</w:t>
      </w:r>
    </w:p>
    <w:p w14:paraId="17A4E1D8" w14:textId="77777777" w:rsidR="004867BC" w:rsidRDefault="004867BC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Dohledový videosystém (VSS)</w:t>
      </w:r>
    </w:p>
    <w:p w14:paraId="2B78DD42" w14:textId="77777777" w:rsidR="001048DE" w:rsidRPr="001048DE" w:rsidRDefault="001048DE" w:rsidP="001048DE">
      <w:pPr>
        <w:pStyle w:val="Nadpis2"/>
      </w:pPr>
      <w:r>
        <w:t>Koordinace s dalšími profesemi</w:t>
      </w:r>
    </w:p>
    <w:p w14:paraId="56CCF2E2" w14:textId="77777777" w:rsidR="001048DE" w:rsidRDefault="001048DE" w:rsidP="001048DE">
      <w:pPr>
        <w:spacing w:after="0"/>
        <w:ind w:left="142"/>
        <w:jc w:val="both"/>
        <w:rPr>
          <w:rFonts w:cs="Arial"/>
        </w:rPr>
      </w:pPr>
      <w:r>
        <w:rPr>
          <w:rFonts w:cs="Arial"/>
        </w:rPr>
        <w:t>Je předpokládána následující koordinační činnost s profesemi</w:t>
      </w:r>
    </w:p>
    <w:p w14:paraId="0F8EB400" w14:textId="77777777" w:rsidR="001048DE" w:rsidRDefault="001048DE" w:rsidP="001048DE">
      <w:pPr>
        <w:pStyle w:val="Nadpis3"/>
      </w:pPr>
      <w:r>
        <w:t>Silnoproudá elektrotechnika</w:t>
      </w:r>
    </w:p>
    <w:p w14:paraId="709C2D0D" w14:textId="77777777" w:rsidR="001048DE" w:rsidRDefault="001048DE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Přívod napájení 230</w:t>
      </w:r>
      <w:r w:rsidR="00BE37FC">
        <w:rPr>
          <w:rFonts w:cs="Arial"/>
        </w:rPr>
        <w:t xml:space="preserve"> </w:t>
      </w:r>
      <w:r>
        <w:rPr>
          <w:rFonts w:cs="Arial"/>
        </w:rPr>
        <w:t>V, 6</w:t>
      </w:r>
      <w:r w:rsidR="00BE37FC">
        <w:rPr>
          <w:rFonts w:cs="Arial"/>
        </w:rPr>
        <w:t xml:space="preserve"> </w:t>
      </w:r>
      <w:r>
        <w:rPr>
          <w:rFonts w:cs="Arial"/>
        </w:rPr>
        <w:t xml:space="preserve">A pro ústřednu LDP </w:t>
      </w:r>
    </w:p>
    <w:p w14:paraId="32794FBF" w14:textId="77777777" w:rsidR="004867BC" w:rsidRPr="004867BC" w:rsidRDefault="004867BC" w:rsidP="004867BC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Přívod napájení 230</w:t>
      </w:r>
      <w:r w:rsidR="00BE37FC">
        <w:rPr>
          <w:rFonts w:cs="Arial"/>
        </w:rPr>
        <w:t xml:space="preserve"> </w:t>
      </w:r>
      <w:r>
        <w:rPr>
          <w:rFonts w:cs="Arial"/>
        </w:rPr>
        <w:t>V, 16</w:t>
      </w:r>
      <w:r w:rsidR="00BE37FC">
        <w:rPr>
          <w:rFonts w:cs="Arial"/>
        </w:rPr>
        <w:t xml:space="preserve"> </w:t>
      </w:r>
      <w:r>
        <w:rPr>
          <w:rFonts w:cs="Arial"/>
        </w:rPr>
        <w:t>A pro zařízení VSS</w:t>
      </w:r>
    </w:p>
    <w:p w14:paraId="72F52E52" w14:textId="77777777" w:rsidR="001048DE" w:rsidRDefault="001048DE" w:rsidP="001048DE">
      <w:pPr>
        <w:pStyle w:val="Nadpis3"/>
      </w:pPr>
      <w:r>
        <w:t>Stavební a zednické</w:t>
      </w:r>
      <w:r w:rsidR="007D56A9">
        <w:t xml:space="preserve"> práce</w:t>
      </w:r>
    </w:p>
    <w:p w14:paraId="42FEFB1F" w14:textId="77777777" w:rsidR="001048DE" w:rsidRDefault="007D56A9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Realizace stoupací trasy mezi 1.</w:t>
      </w:r>
      <w:r w:rsidR="00BE37FC">
        <w:rPr>
          <w:rFonts w:cs="Arial"/>
        </w:rPr>
        <w:t xml:space="preserve"> </w:t>
      </w:r>
      <w:r w:rsidR="004867BC">
        <w:rPr>
          <w:rFonts w:cs="Arial"/>
        </w:rPr>
        <w:t>P</w:t>
      </w:r>
      <w:r>
        <w:rPr>
          <w:rFonts w:cs="Arial"/>
        </w:rPr>
        <w:t>P</w:t>
      </w:r>
      <w:r w:rsidR="00436829">
        <w:rPr>
          <w:rFonts w:cs="Arial"/>
        </w:rPr>
        <w:t xml:space="preserve"> a </w:t>
      </w:r>
      <w:r w:rsidR="004867BC">
        <w:rPr>
          <w:rFonts w:cs="Arial"/>
        </w:rPr>
        <w:t>3.</w:t>
      </w:r>
      <w:r w:rsidR="00BE37FC">
        <w:rPr>
          <w:rFonts w:cs="Arial"/>
        </w:rPr>
        <w:t xml:space="preserve"> </w:t>
      </w:r>
      <w:r w:rsidR="004867BC">
        <w:rPr>
          <w:rFonts w:cs="Arial"/>
        </w:rPr>
        <w:t>NP</w:t>
      </w:r>
      <w:r w:rsidR="00436829">
        <w:rPr>
          <w:rFonts w:cs="Arial"/>
        </w:rPr>
        <w:t xml:space="preserve"> </w:t>
      </w:r>
    </w:p>
    <w:p w14:paraId="4AF4AD80" w14:textId="77777777" w:rsidR="007D56A9" w:rsidRDefault="007D56A9" w:rsidP="001048DE">
      <w:pPr>
        <w:pStyle w:val="Odstavecseseznamem"/>
        <w:numPr>
          <w:ilvl w:val="0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>Začištění kabeláží vedených pod omítkou</w:t>
      </w:r>
    </w:p>
    <w:p w14:paraId="27B0EE27" w14:textId="77777777" w:rsidR="00AA2896" w:rsidRPr="00D32D88" w:rsidRDefault="00AA2896" w:rsidP="00AA2896">
      <w:pPr>
        <w:pStyle w:val="Nadpis1"/>
      </w:pPr>
      <w:bookmarkStart w:id="0" w:name="_Toc481480666"/>
      <w:bookmarkStart w:id="1" w:name="_Toc489531240"/>
      <w:r>
        <w:t>Ochrana před úrazem el. proudem</w:t>
      </w:r>
      <w:bookmarkEnd w:id="0"/>
      <w:bookmarkEnd w:id="1"/>
    </w:p>
    <w:p w14:paraId="49AD222A" w14:textId="77777777" w:rsidR="00AA2896" w:rsidRPr="00796D32" w:rsidRDefault="00AA2896" w:rsidP="00AA2896">
      <w:pPr>
        <w:jc w:val="both"/>
      </w:pPr>
      <w:r w:rsidRPr="00796D32">
        <w:t xml:space="preserve">Dle </w:t>
      </w:r>
      <w:r w:rsidRPr="001D6DBC">
        <w:rPr>
          <w:u w:val="single"/>
        </w:rPr>
        <w:t>ČSN 33 2000-4-41 ed.</w:t>
      </w:r>
      <w:r w:rsidR="004867BC">
        <w:rPr>
          <w:u w:val="single"/>
        </w:rPr>
        <w:t>3</w:t>
      </w:r>
      <w:r w:rsidRPr="00796D32">
        <w:t xml:space="preserve">: </w:t>
      </w:r>
    </w:p>
    <w:p w14:paraId="1204707D" w14:textId="77777777" w:rsidR="00AA2896" w:rsidRPr="00796D32" w:rsidRDefault="00AA2896" w:rsidP="00AA2896">
      <w:pPr>
        <w:jc w:val="both"/>
      </w:pPr>
      <w:r>
        <w:t>Ochranné opatření</w:t>
      </w:r>
      <w:r w:rsidRPr="00796D32">
        <w:t xml:space="preserve">: automatické odpojení od zdroje </w:t>
      </w:r>
    </w:p>
    <w:p w14:paraId="4F5C2CF9" w14:textId="77777777" w:rsidR="00AA2896" w:rsidRPr="00796D32" w:rsidRDefault="00AA2896" w:rsidP="00AA2896">
      <w:pPr>
        <w:jc w:val="both"/>
      </w:pPr>
      <w:r>
        <w:t>Základní ochrana je zajištěna</w:t>
      </w:r>
      <w:r w:rsidRPr="00796D32">
        <w:t>:</w:t>
      </w:r>
    </w:p>
    <w:p w14:paraId="1E3623D3" w14:textId="77777777" w:rsidR="00AA2896" w:rsidRPr="00796D32" w:rsidRDefault="00AA2896" w:rsidP="00AA2896">
      <w:pPr>
        <w:pStyle w:val="Odstavecseseznamem"/>
        <w:numPr>
          <w:ilvl w:val="0"/>
          <w:numId w:val="12"/>
        </w:numPr>
        <w:jc w:val="both"/>
      </w:pPr>
      <w:r w:rsidRPr="00796D32">
        <w:t xml:space="preserve">základní izolace živých částí </w:t>
      </w:r>
    </w:p>
    <w:p w14:paraId="1E09278D" w14:textId="77777777" w:rsidR="00AA2896" w:rsidRPr="00796D32" w:rsidRDefault="00AA2896" w:rsidP="00AA2896">
      <w:pPr>
        <w:pStyle w:val="Odstavecseseznamem"/>
        <w:numPr>
          <w:ilvl w:val="0"/>
          <w:numId w:val="12"/>
        </w:numPr>
        <w:jc w:val="both"/>
      </w:pPr>
      <w:r w:rsidRPr="00796D32">
        <w:t xml:space="preserve">přepážky nebo kryty </w:t>
      </w:r>
    </w:p>
    <w:p w14:paraId="603F1427" w14:textId="77777777" w:rsidR="00AA2896" w:rsidRPr="00796D32" w:rsidRDefault="00AA2896" w:rsidP="00AA2896">
      <w:pPr>
        <w:jc w:val="both"/>
      </w:pPr>
      <w:r w:rsidRPr="00796D32">
        <w:t>Ochrana při poruše (před dotykem neživých částí) je zajištěna:</w:t>
      </w:r>
    </w:p>
    <w:p w14:paraId="6EF50464" w14:textId="77777777" w:rsidR="00AA2896" w:rsidRPr="00796D32" w:rsidRDefault="00AA2896" w:rsidP="00AA2896">
      <w:pPr>
        <w:pStyle w:val="Odstavecseseznamem"/>
        <w:numPr>
          <w:ilvl w:val="0"/>
          <w:numId w:val="13"/>
        </w:numPr>
        <w:jc w:val="both"/>
      </w:pPr>
      <w:r>
        <w:t>o</w:t>
      </w:r>
      <w:r w:rsidRPr="00796D32">
        <w:t>chranné uzemnění a ochranné pospojování</w:t>
      </w:r>
    </w:p>
    <w:p w14:paraId="48B66391" w14:textId="77777777" w:rsidR="00AA2896" w:rsidRDefault="00AA2896" w:rsidP="00AA2896">
      <w:pPr>
        <w:pStyle w:val="Odstavecseseznamem"/>
        <w:numPr>
          <w:ilvl w:val="0"/>
          <w:numId w:val="13"/>
        </w:numPr>
        <w:jc w:val="both"/>
      </w:pPr>
      <w:r>
        <w:t>a</w:t>
      </w:r>
      <w:r w:rsidRPr="00796D32">
        <w:t>utomatickým odpojením v případě poruchy</w:t>
      </w:r>
    </w:p>
    <w:p w14:paraId="1816999B" w14:textId="77777777" w:rsidR="00F87411" w:rsidRDefault="00F87411" w:rsidP="00F87411">
      <w:pPr>
        <w:pStyle w:val="Nadpis2"/>
      </w:pPr>
      <w:bookmarkStart w:id="2" w:name="_Toc14703027"/>
      <w:r>
        <w:t>Prostředí</w:t>
      </w:r>
      <w:bookmarkEnd w:id="2"/>
    </w:p>
    <w:p w14:paraId="360F8050" w14:textId="77777777" w:rsidR="00F87411" w:rsidRPr="00F87411" w:rsidRDefault="00F87411" w:rsidP="00F87411">
      <w:pPr>
        <w:spacing w:after="0"/>
        <w:ind w:left="142"/>
        <w:jc w:val="both"/>
        <w:rPr>
          <w:rFonts w:cs="Arial"/>
        </w:rPr>
      </w:pPr>
      <w:r w:rsidRPr="00F87411">
        <w:rPr>
          <w:rFonts w:cs="Arial"/>
        </w:rPr>
        <w:t xml:space="preserve">Pro objekt bylo pro potřeby této dokumentace stanoveno prostředí normální. </w:t>
      </w:r>
    </w:p>
    <w:p w14:paraId="0BBA4EF6" w14:textId="77777777" w:rsidR="00F87411" w:rsidRDefault="00F87411">
      <w:pPr>
        <w:spacing w:after="200"/>
        <w:ind w:firstLine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414015356"/>
      <w:bookmarkStart w:id="4" w:name="_Toc479326539"/>
      <w:bookmarkStart w:id="5" w:name="_Toc481480667"/>
      <w:bookmarkStart w:id="6" w:name="_Toc14703028"/>
      <w:r>
        <w:br w:type="page"/>
      </w:r>
    </w:p>
    <w:p w14:paraId="0573FB4D" w14:textId="77777777" w:rsidR="00F87411" w:rsidRPr="003263FD" w:rsidRDefault="00F87411" w:rsidP="00F87411">
      <w:pPr>
        <w:pStyle w:val="Nadpis1"/>
        <w:rPr>
          <w:color w:val="1F497D" w:themeColor="text2"/>
        </w:rPr>
      </w:pPr>
      <w:r w:rsidRPr="003263FD">
        <w:lastRenderedPageBreak/>
        <w:t>Posouzení vlivu na životní prostředí</w:t>
      </w:r>
      <w:bookmarkEnd w:id="3"/>
      <w:bookmarkEnd w:id="4"/>
      <w:bookmarkEnd w:id="5"/>
      <w:bookmarkEnd w:id="6"/>
    </w:p>
    <w:p w14:paraId="4D7C7AD6" w14:textId="77777777" w:rsidR="00F87411" w:rsidRPr="00F87411" w:rsidRDefault="00F87411" w:rsidP="00F87411">
      <w:pPr>
        <w:spacing w:after="0"/>
        <w:ind w:left="142"/>
        <w:jc w:val="both"/>
        <w:rPr>
          <w:rFonts w:cs="Arial"/>
        </w:rPr>
      </w:pPr>
      <w:r w:rsidRPr="00F87411">
        <w:rPr>
          <w:rFonts w:cs="Arial"/>
        </w:rPr>
        <w:t>Montáží ani následným provozem nedojde k ovlivnění životního prostředí. 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14:paraId="3B81309F" w14:textId="77777777" w:rsidR="005E152C" w:rsidRPr="00401902" w:rsidRDefault="005E152C" w:rsidP="001048DE">
      <w:pPr>
        <w:pStyle w:val="Nadpis1"/>
      </w:pPr>
      <w:r w:rsidRPr="00401902">
        <w:t>Lokální detekce požáru</w:t>
      </w:r>
    </w:p>
    <w:p w14:paraId="6633052C" w14:textId="77777777" w:rsidR="005E152C" w:rsidRPr="00401902" w:rsidRDefault="005E152C" w:rsidP="001048DE">
      <w:pPr>
        <w:pStyle w:val="Nadpis2"/>
      </w:pPr>
      <w:r w:rsidRPr="00401902">
        <w:t>Normy a právní předpisy</w:t>
      </w:r>
    </w:p>
    <w:p w14:paraId="4E5A58C7" w14:textId="77777777" w:rsidR="005E152C" w:rsidRPr="00401902" w:rsidRDefault="005E152C" w:rsidP="005E152C">
      <w:pPr>
        <w:spacing w:after="0"/>
        <w:ind w:left="142"/>
        <w:jc w:val="both"/>
        <w:rPr>
          <w:rFonts w:cs="Arial"/>
        </w:rPr>
      </w:pPr>
      <w:r w:rsidRPr="00401902">
        <w:rPr>
          <w:rFonts w:cs="Arial"/>
        </w:rPr>
        <w:t>Systém lokální detekce požáru je vyprojektován v souladu s platnými zákony, normami a předpisy. Zejména se jedná o tyto normy:</w:t>
      </w:r>
    </w:p>
    <w:p w14:paraId="7B0CA46E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73 0875 PBS</w:t>
      </w:r>
      <w:r w:rsidRPr="001558B6">
        <w:rPr>
          <w:rFonts w:cs="Arial"/>
        </w:rPr>
        <w:t xml:space="preserve"> – Stanovení podmínek pro navrhování EPS v rámci PBŘ (vydání 2011)</w:t>
      </w:r>
    </w:p>
    <w:p w14:paraId="2F0CFD82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34 2710 EPS</w:t>
      </w:r>
      <w:r w:rsidRPr="001558B6">
        <w:rPr>
          <w:rFonts w:cs="Arial"/>
        </w:rPr>
        <w:t xml:space="preserve"> – Projektování, montáž, užívání, provoz, kontrola, servis a údržba (vydání 2011)</w:t>
      </w:r>
    </w:p>
    <w:p w14:paraId="20662D49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EN 54-xx</w:t>
      </w:r>
      <w:r w:rsidRPr="001558B6">
        <w:rPr>
          <w:rFonts w:cs="Arial"/>
        </w:rPr>
        <w:t xml:space="preserve"> (řada norem) – EPS </w:t>
      </w:r>
    </w:p>
    <w:p w14:paraId="0AE400D2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73 0848</w:t>
      </w:r>
      <w:r w:rsidRPr="001558B6">
        <w:rPr>
          <w:rFonts w:cs="Arial"/>
        </w:rPr>
        <w:t xml:space="preserve"> – Požární bezpečnost staveb – Kabelové rozvody</w:t>
      </w:r>
    </w:p>
    <w:p w14:paraId="68002DB6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IEC 60 331</w:t>
      </w:r>
      <w:r w:rsidRPr="001558B6">
        <w:rPr>
          <w:rFonts w:cs="Arial"/>
        </w:rPr>
        <w:t xml:space="preserve"> (řada norem) – Zkoušky elektrických kabelů za podmínek požáru</w:t>
      </w:r>
    </w:p>
    <w:p w14:paraId="69E68C83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</w:rPr>
      </w:pPr>
      <w:r w:rsidRPr="001558B6">
        <w:rPr>
          <w:rFonts w:cs="Arial"/>
          <w:u w:val="single"/>
        </w:rPr>
        <w:t>ČSN IEC 60 332</w:t>
      </w:r>
      <w:r w:rsidRPr="001558B6">
        <w:rPr>
          <w:rFonts w:cs="Arial"/>
        </w:rPr>
        <w:t xml:space="preserve"> (řada norem) – Zkoušky elektrických a optických kabelů v podmínkách požáru</w:t>
      </w:r>
    </w:p>
    <w:p w14:paraId="4CA95EEC" w14:textId="77777777" w:rsidR="00D83804" w:rsidRPr="001558B6" w:rsidRDefault="00D83804" w:rsidP="00D83804">
      <w:pPr>
        <w:pStyle w:val="Odstavecseseznamem"/>
        <w:ind w:left="862" w:firstLine="0"/>
        <w:rPr>
          <w:rFonts w:cs="Arial"/>
        </w:rPr>
      </w:pPr>
      <w:r w:rsidRPr="001558B6">
        <w:rPr>
          <w:rFonts w:cs="Arial"/>
        </w:rPr>
        <w:t>Právní předpisy:</w:t>
      </w:r>
    </w:p>
    <w:p w14:paraId="18AB5BB4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  <w:u w:val="single"/>
        </w:rPr>
      </w:pPr>
      <w:r w:rsidRPr="001558B6">
        <w:rPr>
          <w:rFonts w:cs="Arial"/>
          <w:u w:val="single"/>
        </w:rPr>
        <w:t>Vyhláška č. 268/2011Sb.</w:t>
      </w:r>
    </w:p>
    <w:p w14:paraId="00E9C550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  <w:u w:val="single"/>
        </w:rPr>
      </w:pPr>
      <w:r w:rsidRPr="001558B6">
        <w:rPr>
          <w:rFonts w:cs="Arial"/>
          <w:u w:val="single"/>
        </w:rPr>
        <w:t>Vyhláška č. 23/2008 Sb.</w:t>
      </w:r>
    </w:p>
    <w:p w14:paraId="23433507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  <w:u w:val="single"/>
        </w:rPr>
      </w:pPr>
      <w:r w:rsidRPr="001558B6">
        <w:rPr>
          <w:rFonts w:cs="Arial"/>
          <w:u w:val="single"/>
        </w:rPr>
        <w:t>Vyhláška č. 246/2001 Sb.</w:t>
      </w:r>
    </w:p>
    <w:p w14:paraId="64561267" w14:textId="77777777" w:rsidR="00D83804" w:rsidRPr="001558B6" w:rsidRDefault="00D83804" w:rsidP="00D83804">
      <w:pPr>
        <w:pStyle w:val="Odstavecseseznamem"/>
        <w:numPr>
          <w:ilvl w:val="0"/>
          <w:numId w:val="8"/>
        </w:numPr>
        <w:rPr>
          <w:rFonts w:cs="Arial"/>
          <w:u w:val="single"/>
        </w:rPr>
      </w:pPr>
      <w:r w:rsidRPr="001558B6">
        <w:rPr>
          <w:rFonts w:cs="Arial"/>
          <w:u w:val="single"/>
        </w:rPr>
        <w:t>Zákon č. 133/1985 Sb.</w:t>
      </w:r>
    </w:p>
    <w:p w14:paraId="550CDBFC" w14:textId="77777777" w:rsidR="005E152C" w:rsidRPr="00401902" w:rsidRDefault="005E152C" w:rsidP="005E152C">
      <w:pPr>
        <w:spacing w:after="0"/>
        <w:ind w:left="142"/>
        <w:jc w:val="both"/>
        <w:rPr>
          <w:rFonts w:cs="Arial"/>
        </w:rPr>
      </w:pPr>
      <w:r w:rsidRPr="00401902">
        <w:rPr>
          <w:rFonts w:cs="Arial"/>
        </w:rPr>
        <w:t xml:space="preserve">Součástí této dokumentace je čestné prohlášení projektanta lokální detekce požáru o dodržení výše uvedených právních předpisů. </w:t>
      </w:r>
    </w:p>
    <w:p w14:paraId="69603D8B" w14:textId="77777777" w:rsidR="005E152C" w:rsidRPr="00401902" w:rsidRDefault="005E152C" w:rsidP="005E152C">
      <w:pPr>
        <w:spacing w:after="0"/>
        <w:ind w:left="142"/>
        <w:jc w:val="both"/>
        <w:rPr>
          <w:rFonts w:cs="Arial"/>
        </w:rPr>
      </w:pPr>
    </w:p>
    <w:p w14:paraId="2C25E606" w14:textId="77777777" w:rsidR="005E152C" w:rsidRPr="00401902" w:rsidRDefault="005E152C" w:rsidP="001048DE">
      <w:pPr>
        <w:pStyle w:val="Nadpis2"/>
      </w:pPr>
      <w:r w:rsidRPr="00401902">
        <w:t>Rozsah lokální detekce požáru</w:t>
      </w:r>
    </w:p>
    <w:p w14:paraId="44F63691" w14:textId="77777777" w:rsidR="005E152C" w:rsidRPr="00401902" w:rsidRDefault="00F14CED" w:rsidP="005E152C">
      <w:pPr>
        <w:spacing w:after="0"/>
        <w:jc w:val="both"/>
        <w:rPr>
          <w:rFonts w:cs="Arial"/>
        </w:rPr>
      </w:pPr>
      <w:r>
        <w:rPr>
          <w:rFonts w:cs="Arial"/>
        </w:rPr>
        <w:t>Systém LDP bude instalován v</w:t>
      </w:r>
      <w:r w:rsidR="004867BC">
        <w:rPr>
          <w:rFonts w:cs="Arial"/>
        </w:rPr>
        <w:t> celém objektu</w:t>
      </w:r>
      <w:r>
        <w:rPr>
          <w:rFonts w:cs="Arial"/>
        </w:rPr>
        <w:t xml:space="preserve">. </w:t>
      </w:r>
      <w:r w:rsidR="004867BC">
        <w:rPr>
          <w:rFonts w:cs="Arial"/>
        </w:rPr>
        <w:t>Ve všech prostorech</w:t>
      </w:r>
      <w:r>
        <w:rPr>
          <w:rFonts w:cs="Arial"/>
        </w:rPr>
        <w:t xml:space="preserve"> budou instalovány tlačítkové hlásiče a samočinné hlásiče. Ústředna LDP bude instalována </w:t>
      </w:r>
      <w:r w:rsidR="00436829">
        <w:rPr>
          <w:rFonts w:cs="Arial"/>
        </w:rPr>
        <w:t>na recepci</w:t>
      </w:r>
      <w:r w:rsidR="004867BC">
        <w:rPr>
          <w:rFonts w:cs="Arial"/>
        </w:rPr>
        <w:t xml:space="preserve"> muzea 102.</w:t>
      </w:r>
    </w:p>
    <w:p w14:paraId="34982FF8" w14:textId="77777777" w:rsidR="005E152C" w:rsidRPr="00401902" w:rsidRDefault="005E152C" w:rsidP="001048DE">
      <w:pPr>
        <w:pStyle w:val="Nadpis2"/>
      </w:pPr>
      <w:r w:rsidRPr="00401902">
        <w:t>Detekce požáru</w:t>
      </w:r>
    </w:p>
    <w:p w14:paraId="4D750806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>V objektu budou rozmístěny automatické</w:t>
      </w:r>
      <w:r w:rsidR="00F14CED">
        <w:rPr>
          <w:rFonts w:cs="Arial"/>
        </w:rPr>
        <w:t xml:space="preserve"> a manuální</w:t>
      </w:r>
      <w:r w:rsidRPr="00401902">
        <w:rPr>
          <w:rFonts w:cs="Arial"/>
        </w:rPr>
        <w:t xml:space="preserve"> hlásiče požáru</w:t>
      </w:r>
      <w:r w:rsidR="00F14CED">
        <w:rPr>
          <w:rFonts w:cs="Arial"/>
        </w:rPr>
        <w:t>.</w:t>
      </w:r>
      <w:r w:rsidRPr="00401902">
        <w:rPr>
          <w:rFonts w:cs="Arial"/>
        </w:rPr>
        <w:t xml:space="preserve"> Systém je aktivován následujícími způsoby:</w:t>
      </w:r>
    </w:p>
    <w:p w14:paraId="1DC19A3C" w14:textId="77777777" w:rsidR="005E152C" w:rsidRPr="00401902" w:rsidRDefault="005E152C" w:rsidP="001A0F5F">
      <w:pPr>
        <w:pStyle w:val="Odstavecseseznamem"/>
        <w:numPr>
          <w:ilvl w:val="0"/>
          <w:numId w:val="3"/>
        </w:numPr>
        <w:spacing w:after="0"/>
        <w:jc w:val="both"/>
        <w:rPr>
          <w:rFonts w:cs="Arial"/>
        </w:rPr>
      </w:pPr>
      <w:r w:rsidRPr="00401902">
        <w:rPr>
          <w:rFonts w:cs="Arial"/>
        </w:rPr>
        <w:t>aktivace hlásiče požáru</w:t>
      </w:r>
    </w:p>
    <w:p w14:paraId="2746B149" w14:textId="77777777" w:rsidR="005E152C" w:rsidRPr="00401902" w:rsidRDefault="005E152C" w:rsidP="001A0F5F">
      <w:pPr>
        <w:pStyle w:val="Odstavecseseznamem"/>
        <w:numPr>
          <w:ilvl w:val="0"/>
          <w:numId w:val="3"/>
        </w:numPr>
        <w:spacing w:after="0"/>
        <w:jc w:val="both"/>
        <w:rPr>
          <w:rFonts w:cs="Arial"/>
        </w:rPr>
      </w:pPr>
      <w:r w:rsidRPr="00401902">
        <w:rPr>
          <w:rFonts w:cs="Arial"/>
        </w:rPr>
        <w:t>přerušení vedení kabelové trasy na jakékoliv části vedení propojující</w:t>
      </w:r>
      <w:r w:rsidR="00804E95">
        <w:rPr>
          <w:rFonts w:cs="Arial"/>
        </w:rPr>
        <w:t>m</w:t>
      </w:r>
      <w:r w:rsidRPr="00401902">
        <w:rPr>
          <w:rFonts w:cs="Arial"/>
        </w:rPr>
        <w:t xml:space="preserve"> jednotlivé části systému, napojených a ovládaných zařízení</w:t>
      </w:r>
    </w:p>
    <w:p w14:paraId="5E0C0DEB" w14:textId="77777777" w:rsidR="005E152C" w:rsidRPr="00401902" w:rsidRDefault="005E152C" w:rsidP="001A0F5F">
      <w:pPr>
        <w:pStyle w:val="Odstavecseseznamem"/>
        <w:numPr>
          <w:ilvl w:val="0"/>
          <w:numId w:val="3"/>
        </w:numPr>
        <w:spacing w:after="0"/>
        <w:jc w:val="both"/>
        <w:rPr>
          <w:rFonts w:cs="Arial"/>
        </w:rPr>
      </w:pPr>
      <w:r w:rsidRPr="00401902">
        <w:rPr>
          <w:rFonts w:cs="Arial"/>
        </w:rPr>
        <w:t>přerušení spojení s jednotlivými komponenty systému LDP</w:t>
      </w:r>
    </w:p>
    <w:p w14:paraId="0F7EC664" w14:textId="77777777" w:rsidR="00F87411" w:rsidRDefault="00F87411">
      <w:pPr>
        <w:spacing w:after="200"/>
        <w:ind w:firstLine="0"/>
        <w:rPr>
          <w:rFonts w:asciiTheme="majorHAnsi" w:eastAsiaTheme="majorEastAsia" w:hAnsiTheme="majorHAnsi" w:cstheme="majorBidi"/>
          <w:b/>
          <w:bCs/>
        </w:rPr>
      </w:pPr>
      <w:bookmarkStart w:id="7" w:name="_Toc413406506"/>
      <w:bookmarkStart w:id="8" w:name="_Toc489531247"/>
      <w:bookmarkStart w:id="9" w:name="_Toc496795059"/>
      <w:bookmarkStart w:id="10" w:name="_Toc499711526"/>
      <w:r>
        <w:br w:type="page"/>
      </w:r>
    </w:p>
    <w:p w14:paraId="0D8DB1E3" w14:textId="77777777" w:rsidR="001022E4" w:rsidRPr="001558B6" w:rsidRDefault="001022E4" w:rsidP="001022E4">
      <w:pPr>
        <w:pStyle w:val="Nadpis2"/>
      </w:pPr>
      <w:r w:rsidRPr="001558B6">
        <w:lastRenderedPageBreak/>
        <w:t>Samočinné hlásiče</w:t>
      </w:r>
      <w:bookmarkEnd w:id="7"/>
      <w:bookmarkEnd w:id="8"/>
      <w:bookmarkEnd w:id="9"/>
      <w:bookmarkEnd w:id="10"/>
    </w:p>
    <w:p w14:paraId="0FEE16DA" w14:textId="77777777" w:rsidR="001022E4" w:rsidRPr="001558B6" w:rsidRDefault="001022E4" w:rsidP="001022E4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1558B6">
        <w:rPr>
          <w:rFonts w:cs="Arial"/>
        </w:rPr>
        <w:t>Samočinné hlásiče jsou navrženy ve všech řešených prostorech. Budou použity následující typy hlásičů:</w:t>
      </w:r>
    </w:p>
    <w:p w14:paraId="3BEF6450" w14:textId="77777777" w:rsidR="001022E4" w:rsidRPr="001558B6" w:rsidRDefault="001022E4" w:rsidP="001022E4">
      <w:pPr>
        <w:pStyle w:val="Nadpis3"/>
      </w:pPr>
      <w:r w:rsidRPr="001558B6">
        <w:t>Optický hlásič kouře (bodový)</w:t>
      </w:r>
    </w:p>
    <w:p w14:paraId="69E836F6" w14:textId="77777777" w:rsidR="001022E4" w:rsidRPr="001558B6" w:rsidRDefault="00A93637" w:rsidP="001022E4">
      <w:pPr>
        <w:spacing w:after="0"/>
        <w:jc w:val="both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D57129" wp14:editId="0B62E6B9">
            <wp:simplePos x="0" y="0"/>
            <wp:positionH relativeFrom="column">
              <wp:posOffset>4661535</wp:posOffset>
            </wp:positionH>
            <wp:positionV relativeFrom="paragraph">
              <wp:posOffset>24130</wp:posOffset>
            </wp:positionV>
            <wp:extent cx="1440000" cy="1080254"/>
            <wp:effectExtent l="0" t="0" r="8255" b="571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08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2E4" w:rsidRPr="001558B6">
        <w:rPr>
          <w:rFonts w:cs="Arial"/>
        </w:rPr>
        <w:t xml:space="preserve">Tyto hlásiče jsou použity ve většině prostor. Reagují na vznik kouře v místnosti pomocí optického senzoru. Při instalaci hlásičů postupujte podle pokynů výrobce. Použité hlásiče musí splňovat </w:t>
      </w:r>
      <w:r w:rsidR="001022E4" w:rsidRPr="001558B6">
        <w:rPr>
          <w:rFonts w:cs="Arial"/>
          <w:u w:val="single"/>
        </w:rPr>
        <w:t>ČSN EN 54-7</w:t>
      </w:r>
      <w:r w:rsidR="001022E4" w:rsidRPr="001558B6">
        <w:rPr>
          <w:rFonts w:cs="Arial"/>
        </w:rPr>
        <w:t xml:space="preserve">. Hlásiče jsou v PD rozmístěny v souladu s požadavky </w:t>
      </w:r>
      <w:r w:rsidR="001022E4" w:rsidRPr="001558B6">
        <w:rPr>
          <w:rFonts w:cs="Arial"/>
          <w:u w:val="single"/>
        </w:rPr>
        <w:t>ČSN 34 2710:2011</w:t>
      </w:r>
      <w:r w:rsidR="001022E4" w:rsidRPr="001558B6">
        <w:rPr>
          <w:rFonts w:cs="Arial"/>
        </w:rPr>
        <w:t xml:space="preserve">. Při instalaci je nutné dodržet pokyny vycházející z tabulky 1 v oddílu </w:t>
      </w:r>
      <w:r w:rsidR="001022E4" w:rsidRPr="001558B6">
        <w:rPr>
          <w:rFonts w:cs="Arial"/>
          <w:u w:val="single"/>
        </w:rPr>
        <w:t>6.5.1.1</w:t>
      </w:r>
      <w:r w:rsidR="001022E4" w:rsidRPr="001558B6">
        <w:rPr>
          <w:rFonts w:cs="Arial"/>
        </w:rPr>
        <w:t xml:space="preserve"> této normy.</w:t>
      </w:r>
    </w:p>
    <w:p w14:paraId="0C917CC6" w14:textId="77777777" w:rsidR="001022E4" w:rsidRPr="001558B6" w:rsidRDefault="001022E4" w:rsidP="001022E4">
      <w:pPr>
        <w:pStyle w:val="Nadpis3"/>
        <w:ind w:left="568" w:hanging="284"/>
      </w:pPr>
      <w:r w:rsidRPr="001558B6">
        <w:t>Teplotní hlásič (bodový)</w:t>
      </w:r>
    </w:p>
    <w:p w14:paraId="446C5FA4" w14:textId="77777777" w:rsidR="001022E4" w:rsidRPr="001558B6" w:rsidRDefault="001022E4" w:rsidP="001022E4">
      <w:pPr>
        <w:spacing w:after="0"/>
        <w:jc w:val="both"/>
        <w:rPr>
          <w:rFonts w:cs="Arial"/>
        </w:rPr>
      </w:pPr>
      <w:r w:rsidRPr="001558B6">
        <w:rPr>
          <w:rFonts w:cs="Arial"/>
        </w:rPr>
        <w:t>Tam, kde není možné instalovat optické hlásiče, například z toho důvodu, že skladované látky při hoření téměř neprodukují kouř, popřípadě je hlásič v prostředí, kde by pára či prach mohly vyvolat falešné poplachy, budou instalovány teplotní hlásiče</w:t>
      </w:r>
      <w:r w:rsidR="004867BC">
        <w:rPr>
          <w:rFonts w:cs="Arial"/>
        </w:rPr>
        <w:t xml:space="preserve"> (m. 108, 207 a 306)</w:t>
      </w:r>
      <w:r w:rsidRPr="001558B6">
        <w:rPr>
          <w:rFonts w:cs="Arial"/>
        </w:rPr>
        <w:t xml:space="preserve">. Při instalaci hlásičů postupujte podle pokynů výrobce. Použité hlásiče musí splňovat </w:t>
      </w:r>
      <w:r w:rsidRPr="001558B6">
        <w:rPr>
          <w:rFonts w:cs="Arial"/>
          <w:u w:val="single"/>
        </w:rPr>
        <w:t>ČSN EN 54-5</w:t>
      </w:r>
      <w:r w:rsidRPr="001558B6">
        <w:rPr>
          <w:rFonts w:cs="Arial"/>
        </w:rPr>
        <w:t xml:space="preserve">. Hlásiče jsou v PD rozmístěny v souladu s požadavky </w:t>
      </w:r>
      <w:r w:rsidRPr="001558B6">
        <w:rPr>
          <w:rFonts w:cs="Arial"/>
          <w:u w:val="single"/>
        </w:rPr>
        <w:t>ČSN 34 2710:2011</w:t>
      </w:r>
      <w:r w:rsidRPr="001558B6">
        <w:rPr>
          <w:rFonts w:cs="Arial"/>
        </w:rPr>
        <w:t xml:space="preserve">. Při instalaci je nutné dodržet pokyny vycházející z tabulky 1 v oddílu </w:t>
      </w:r>
      <w:r w:rsidRPr="001558B6">
        <w:rPr>
          <w:rFonts w:cs="Arial"/>
          <w:u w:val="single"/>
        </w:rPr>
        <w:t>6.5.1.1</w:t>
      </w:r>
      <w:r w:rsidRPr="001558B6">
        <w:rPr>
          <w:rFonts w:cs="Arial"/>
        </w:rPr>
        <w:t>této normy.</w:t>
      </w:r>
    </w:p>
    <w:p w14:paraId="0C9DFAC3" w14:textId="77777777" w:rsidR="001022E4" w:rsidRPr="001558B6" w:rsidRDefault="001022E4" w:rsidP="001022E4">
      <w:pPr>
        <w:pStyle w:val="Nadpis3"/>
        <w:ind w:left="568" w:hanging="284"/>
      </w:pPr>
      <w:bookmarkStart w:id="11" w:name="_Toc413406507"/>
      <w:bookmarkStart w:id="12" w:name="_Toc489531248"/>
      <w:bookmarkStart w:id="13" w:name="_Toc496795060"/>
      <w:bookmarkStart w:id="14" w:name="_Toc499711527"/>
      <w:r w:rsidRPr="001558B6">
        <w:t>Tlačítkové hlásiče</w:t>
      </w:r>
      <w:bookmarkEnd w:id="11"/>
      <w:bookmarkEnd w:id="12"/>
      <w:bookmarkEnd w:id="13"/>
      <w:bookmarkEnd w:id="14"/>
    </w:p>
    <w:p w14:paraId="23A9B8B3" w14:textId="77777777" w:rsidR="001022E4" w:rsidRPr="001558B6" w:rsidRDefault="009353A2" w:rsidP="001022E4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C39FCDA" wp14:editId="07A63980">
            <wp:simplePos x="0" y="0"/>
            <wp:positionH relativeFrom="column">
              <wp:posOffset>4680585</wp:posOffset>
            </wp:positionH>
            <wp:positionV relativeFrom="paragraph">
              <wp:posOffset>65405</wp:posOffset>
            </wp:positionV>
            <wp:extent cx="1439545" cy="1079500"/>
            <wp:effectExtent l="0" t="0" r="8255" b="635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2E4" w:rsidRPr="001558B6">
        <w:rPr>
          <w:rFonts w:cs="Arial"/>
        </w:rPr>
        <w:t>Pro případ, kdy je vznik požáru zjištěn osobou, jsou v objektu instalovány tlačítkové hlásiče požáru. Hlásiče</w:t>
      </w:r>
      <w:r w:rsidRPr="009353A2">
        <w:t xml:space="preserve"> </w:t>
      </w:r>
      <w:r w:rsidR="001022E4" w:rsidRPr="001558B6">
        <w:rPr>
          <w:rFonts w:cs="Arial"/>
        </w:rPr>
        <w:t xml:space="preserve">budou instalovány u východů z únikových cest do volného prostranství </w:t>
      </w:r>
      <w:r w:rsidR="001022E4">
        <w:rPr>
          <w:rFonts w:cs="Arial"/>
        </w:rPr>
        <w:t xml:space="preserve">a </w:t>
      </w:r>
      <w:r w:rsidR="001022E4" w:rsidRPr="001558B6">
        <w:rPr>
          <w:rFonts w:cs="Arial"/>
        </w:rPr>
        <w:t>v místech o</w:t>
      </w:r>
      <w:r w:rsidR="001022E4">
        <w:rPr>
          <w:rFonts w:cs="Arial"/>
        </w:rPr>
        <w:t>bsluhy technologických zařízení.</w:t>
      </w:r>
      <w:r w:rsidR="001022E4" w:rsidRPr="001558B6">
        <w:rPr>
          <w:rFonts w:cs="Arial"/>
        </w:rPr>
        <w:t xml:space="preserve"> Návrh dodržuje požadavky norem </w:t>
      </w:r>
      <w:r w:rsidR="001022E4" w:rsidRPr="001558B6">
        <w:rPr>
          <w:rFonts w:cs="Arial"/>
          <w:u w:val="single"/>
        </w:rPr>
        <w:t>ČSN 34 2710:2011</w:t>
      </w:r>
      <w:r w:rsidR="001022E4" w:rsidRPr="001558B6">
        <w:rPr>
          <w:rFonts w:cs="Arial"/>
        </w:rPr>
        <w:t xml:space="preserve"> a </w:t>
      </w:r>
      <w:r w:rsidR="001022E4" w:rsidRPr="001558B6">
        <w:rPr>
          <w:rFonts w:cs="Arial"/>
          <w:u w:val="single"/>
        </w:rPr>
        <w:t>ČSN 73 0875:2011</w:t>
      </w:r>
      <w:r w:rsidR="001022E4" w:rsidRPr="001558B6">
        <w:rPr>
          <w:rFonts w:cs="Arial"/>
        </w:rPr>
        <w:t xml:space="preserve">. Hlásiče jsou rozmístěny tak aby se nacházely nejdále 3m od výše uvedených východů a vzdálenost mezi hlásiči na únikových cestách nebyla větší než 60m. Hlásiče budou instalovány ve výšce 1,2 – 1,5m. Použité hlásiče musí splňovat </w:t>
      </w:r>
      <w:r w:rsidR="001022E4" w:rsidRPr="001558B6">
        <w:rPr>
          <w:rFonts w:cs="Arial"/>
          <w:u w:val="single"/>
        </w:rPr>
        <w:t>ČSN EN 54-11</w:t>
      </w:r>
      <w:r w:rsidR="001022E4" w:rsidRPr="001558B6">
        <w:rPr>
          <w:rFonts w:cs="Arial"/>
        </w:rPr>
        <w:t>.</w:t>
      </w:r>
    </w:p>
    <w:p w14:paraId="411F64CC" w14:textId="77777777" w:rsidR="005E152C" w:rsidRPr="00401902" w:rsidRDefault="00A93637" w:rsidP="001048DE">
      <w:pPr>
        <w:pStyle w:val="Nadpis2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F8922F" wp14:editId="710CCEC4">
            <wp:simplePos x="0" y="0"/>
            <wp:positionH relativeFrom="column">
              <wp:posOffset>3956685</wp:posOffset>
            </wp:positionH>
            <wp:positionV relativeFrom="paragraph">
              <wp:posOffset>263525</wp:posOffset>
            </wp:positionV>
            <wp:extent cx="2160000" cy="1619881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61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2C" w:rsidRPr="00401902">
        <w:t>Ústředna lokální detekce požáru</w:t>
      </w:r>
    </w:p>
    <w:p w14:paraId="6C6AC1AB" w14:textId="77777777" w:rsidR="005E152C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Ústředna lokální detekce požáru </w:t>
      </w:r>
      <w:r w:rsidR="001022E4">
        <w:rPr>
          <w:rFonts w:cs="Arial"/>
        </w:rPr>
        <w:t xml:space="preserve">bude instalována </w:t>
      </w:r>
      <w:r w:rsidR="0062109C">
        <w:rPr>
          <w:rFonts w:cs="Arial"/>
        </w:rPr>
        <w:t>na recepci v 1.NP</w:t>
      </w:r>
      <w:r w:rsidR="001022E4">
        <w:rPr>
          <w:rFonts w:cs="Arial"/>
        </w:rPr>
        <w:t>.</w:t>
      </w:r>
      <w:r w:rsidRPr="00401902">
        <w:rPr>
          <w:rFonts w:cs="Arial"/>
        </w:rPr>
        <w:t xml:space="preserve"> </w:t>
      </w:r>
      <w:r w:rsidR="001022E4">
        <w:rPr>
          <w:rFonts w:cs="Arial"/>
          <w:b/>
        </w:rPr>
        <w:t>Ú</w:t>
      </w:r>
      <w:r w:rsidRPr="00401902">
        <w:rPr>
          <w:rFonts w:cs="Arial"/>
          <w:b/>
        </w:rPr>
        <w:t xml:space="preserve">středna lokální detekce požáru </w:t>
      </w:r>
      <w:r w:rsidR="001022E4">
        <w:rPr>
          <w:rFonts w:cs="Arial"/>
          <w:b/>
        </w:rPr>
        <w:t xml:space="preserve">musí </w:t>
      </w:r>
      <w:r w:rsidRPr="00401902">
        <w:rPr>
          <w:rFonts w:cs="Arial"/>
          <w:b/>
        </w:rPr>
        <w:t>vyhov</w:t>
      </w:r>
      <w:r w:rsidR="001022E4">
        <w:rPr>
          <w:rFonts w:cs="Arial"/>
          <w:b/>
        </w:rPr>
        <w:t>ovat</w:t>
      </w:r>
      <w:r w:rsidRPr="00401902">
        <w:rPr>
          <w:rFonts w:cs="Arial"/>
          <w:b/>
        </w:rPr>
        <w:t xml:space="preserve"> ČSN 73 0875 čl. 4.12.4. </w:t>
      </w:r>
      <w:r w:rsidRPr="00401902">
        <w:rPr>
          <w:rFonts w:cs="Arial"/>
        </w:rPr>
        <w:t>Ústředna monitoruje spojení se všemi svými prvky, a v případě přerušení kabeláže, či jiné záv</w:t>
      </w:r>
      <w:r w:rsidR="001022E4">
        <w:rPr>
          <w:rFonts w:cs="Arial"/>
        </w:rPr>
        <w:t>ady na systému aktivuje výstupy</w:t>
      </w:r>
      <w:r w:rsidRPr="00401902">
        <w:rPr>
          <w:rFonts w:cs="Arial"/>
        </w:rPr>
        <w:t xml:space="preserve">. </w:t>
      </w:r>
      <w:r w:rsidR="001022E4">
        <w:rPr>
          <w:rFonts w:cs="Arial"/>
        </w:rPr>
        <w:t>Ústředna bude napájena samostatným přívodem s požární odolností.</w:t>
      </w:r>
      <w:r w:rsidR="00AA2896">
        <w:rPr>
          <w:rFonts w:cs="Arial"/>
        </w:rPr>
        <w:t xml:space="preserve"> </w:t>
      </w:r>
      <w:r w:rsidR="001022E4">
        <w:rPr>
          <w:rFonts w:cs="Arial"/>
        </w:rPr>
        <w:t xml:space="preserve"> </w:t>
      </w:r>
    </w:p>
    <w:p w14:paraId="5694BBF9" w14:textId="77777777" w:rsidR="005E152C" w:rsidRDefault="006016AC" w:rsidP="004867BC">
      <w:pPr>
        <w:spacing w:after="0"/>
        <w:jc w:val="both"/>
        <w:rPr>
          <w:rFonts w:cs="Arial"/>
        </w:rPr>
      </w:pPr>
      <w:r>
        <w:rPr>
          <w:rFonts w:cs="Arial"/>
        </w:rPr>
        <w:t xml:space="preserve">V souladu s ČSN 73 0875 </w:t>
      </w:r>
      <w:r w:rsidR="0062109C">
        <w:rPr>
          <w:rFonts w:cs="Arial"/>
        </w:rPr>
        <w:t xml:space="preserve">může být </w:t>
      </w:r>
      <w:r>
        <w:rPr>
          <w:rFonts w:cs="Arial"/>
        </w:rPr>
        <w:t>využita ústředna PZTS.</w:t>
      </w:r>
      <w:r w:rsidR="004867BC">
        <w:rPr>
          <w:rFonts w:cs="Arial"/>
        </w:rPr>
        <w:t xml:space="preserve"> Navrženo je sběrnicové provedení – hlásiče i sirény jsou instalovány na kruhové lince.</w:t>
      </w:r>
    </w:p>
    <w:p w14:paraId="22FC2D3B" w14:textId="77777777" w:rsidR="005E152C" w:rsidRPr="00401902" w:rsidRDefault="005E152C" w:rsidP="001048DE">
      <w:pPr>
        <w:pStyle w:val="Nadpis2"/>
      </w:pPr>
      <w:r w:rsidRPr="00401902">
        <w:t>Provozní režimy lokální detekce požáru</w:t>
      </w:r>
    </w:p>
    <w:p w14:paraId="3F5FE7E2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Ústředna bude provozována v režimu bez trvale přítomné obsluhy. Požární hlásiče budou naprogramovány jako 24 hodinová smyčka </w:t>
      </w:r>
      <w:r w:rsidRPr="00401902">
        <w:rPr>
          <w:rFonts w:cs="Arial"/>
          <w:i/>
        </w:rPr>
        <w:t>bez možnosti vypnutí</w:t>
      </w:r>
      <w:r w:rsidRPr="00401902">
        <w:rPr>
          <w:rFonts w:cs="Arial"/>
        </w:rPr>
        <w:t xml:space="preserve"> uživatelem. </w:t>
      </w:r>
    </w:p>
    <w:p w14:paraId="5D4F8C76" w14:textId="77777777" w:rsidR="005E152C" w:rsidRPr="00401902" w:rsidRDefault="005E152C" w:rsidP="001048DE">
      <w:pPr>
        <w:pStyle w:val="Nadpis2"/>
      </w:pPr>
      <w:r w:rsidRPr="00401902">
        <w:t>Zařízení aktivovaná lokální detekcí požáru</w:t>
      </w:r>
    </w:p>
    <w:p w14:paraId="4FCC7005" w14:textId="77777777" w:rsidR="005E152C" w:rsidRPr="00401902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>Zařízení bude ovládat:</w:t>
      </w:r>
      <w:r w:rsidRPr="00401902">
        <w:rPr>
          <w:rFonts w:cs="Courier New"/>
        </w:rPr>
        <w:tab/>
      </w:r>
    </w:p>
    <w:p w14:paraId="70F251E5" w14:textId="77777777" w:rsidR="005E152C" w:rsidRPr="00AA2896" w:rsidRDefault="0062109C" w:rsidP="00AA2896">
      <w:pPr>
        <w:pStyle w:val="Odstavecseseznamem"/>
        <w:numPr>
          <w:ilvl w:val="0"/>
          <w:numId w:val="11"/>
        </w:numPr>
        <w:spacing w:after="0"/>
        <w:jc w:val="both"/>
        <w:rPr>
          <w:rFonts w:cs="Arial"/>
        </w:rPr>
      </w:pPr>
      <w:r>
        <w:rPr>
          <w:rFonts w:cs="Arial"/>
        </w:rPr>
        <w:t>Požární sirény pro akustickou signalizaci požáru</w:t>
      </w:r>
    </w:p>
    <w:p w14:paraId="1B3CB57B" w14:textId="77777777" w:rsidR="005E152C" w:rsidRPr="00401902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>Všechny kroky provede zařízení lokální detekce požáru současně.</w:t>
      </w:r>
      <w:r w:rsidR="004867BC">
        <w:rPr>
          <w:rFonts w:cs="Courier New"/>
        </w:rPr>
        <w:t xml:space="preserve"> Výstupy jsou zálohovány náhradním zdrojem 24</w:t>
      </w:r>
      <w:r w:rsidR="00BE37FC">
        <w:rPr>
          <w:rFonts w:cs="Courier New"/>
        </w:rPr>
        <w:t xml:space="preserve"> </w:t>
      </w:r>
      <w:r w:rsidR="004867BC">
        <w:rPr>
          <w:rFonts w:cs="Courier New"/>
        </w:rPr>
        <w:t>V</w:t>
      </w:r>
      <w:r w:rsidR="00BE37FC">
        <w:rPr>
          <w:rFonts w:cs="Courier New"/>
        </w:rPr>
        <w:t xml:space="preserve"> </w:t>
      </w:r>
      <w:r w:rsidR="004867BC">
        <w:rPr>
          <w:rFonts w:cs="Courier New"/>
        </w:rPr>
        <w:t>v ústředně LDP.</w:t>
      </w:r>
    </w:p>
    <w:p w14:paraId="030AE9C2" w14:textId="77777777" w:rsidR="005E152C" w:rsidRPr="00401902" w:rsidRDefault="009353A2" w:rsidP="001048DE">
      <w:pPr>
        <w:pStyle w:val="Nadpis2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365302A" wp14:editId="2BF57195">
            <wp:simplePos x="0" y="0"/>
            <wp:positionH relativeFrom="column">
              <wp:posOffset>4676775</wp:posOffset>
            </wp:positionH>
            <wp:positionV relativeFrom="paragraph">
              <wp:posOffset>335280</wp:posOffset>
            </wp:positionV>
            <wp:extent cx="1440000" cy="1079746"/>
            <wp:effectExtent l="0" t="0" r="8255" b="635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07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2C" w:rsidRPr="00401902">
        <w:t>Signalizace požárního poplachu</w:t>
      </w:r>
    </w:p>
    <w:p w14:paraId="54B6622F" w14:textId="77777777" w:rsidR="005E152C" w:rsidRPr="00401902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 xml:space="preserve">Požární poplach bude primárně signalizován na displeji poplachové ústředny spolu s akustickou signalizací vnitřního bzučáku zobrazovacího zařízení. </w:t>
      </w:r>
    </w:p>
    <w:p w14:paraId="73E19371" w14:textId="77777777" w:rsidR="005E152C" w:rsidRPr="00401902" w:rsidRDefault="005E152C" w:rsidP="001048DE">
      <w:pPr>
        <w:pStyle w:val="Nadpis2"/>
      </w:pPr>
      <w:r w:rsidRPr="00401902">
        <w:t>Adresace systému lokální detekce požáru</w:t>
      </w:r>
    </w:p>
    <w:p w14:paraId="2FE25C40" w14:textId="77777777" w:rsidR="005E152C" w:rsidRPr="00401902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>Ústředna lokální detekce požáru bude na displeji zobrazovat adresné informace o místě požáru. Obsluha tak bude informována o přesném místě požáru.</w:t>
      </w:r>
    </w:p>
    <w:p w14:paraId="19F9C304" w14:textId="77777777" w:rsidR="005E152C" w:rsidRPr="00401902" w:rsidRDefault="005E152C" w:rsidP="001048DE">
      <w:pPr>
        <w:pStyle w:val="Nadpis2"/>
      </w:pPr>
      <w:r w:rsidRPr="00401902">
        <w:t>Rozvody lokální detekce požáru</w:t>
      </w:r>
    </w:p>
    <w:p w14:paraId="1DBB3A09" w14:textId="77777777" w:rsidR="005E152C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 xml:space="preserve"> Použité kabeláže odpovídají požadavkům norem PBS a EPS. Pro výstupy zařízení lokální detekce požáru jsou využity kabeláže se zaručenou funkcí při požáru. Na linku hlásičů jsou využity </w:t>
      </w:r>
      <w:r w:rsidR="00510BDD">
        <w:rPr>
          <w:rFonts w:cs="Courier New"/>
        </w:rPr>
        <w:t>kabely s požární odolností</w:t>
      </w:r>
      <w:r w:rsidRPr="00401902">
        <w:rPr>
          <w:rFonts w:cs="Courier New"/>
        </w:rPr>
        <w:t>.</w:t>
      </w:r>
    </w:p>
    <w:p w14:paraId="32AE2CFC" w14:textId="77777777" w:rsidR="006016AC" w:rsidRPr="00401902" w:rsidRDefault="006016A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 xml:space="preserve">Kabel </w:t>
      </w:r>
      <w:r w:rsidRPr="006016AC">
        <w:rPr>
          <w:rFonts w:cs="Courier New"/>
        </w:rPr>
        <w:t>E30/60 JE-H(St)H 3x2x0,8</w:t>
      </w:r>
      <w:r w:rsidR="0062109C">
        <w:rPr>
          <w:rFonts w:cs="Courier New"/>
        </w:rPr>
        <w:t xml:space="preserve"> – </w:t>
      </w:r>
      <w:r w:rsidR="00510BDD">
        <w:rPr>
          <w:rFonts w:cs="Courier New"/>
        </w:rPr>
        <w:t xml:space="preserve">kruhová linka </w:t>
      </w:r>
    </w:p>
    <w:p w14:paraId="5F007E7C" w14:textId="77777777" w:rsidR="005E152C" w:rsidRPr="006016AC" w:rsidRDefault="006016AC" w:rsidP="005E152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6016AC">
        <w:rPr>
          <w:rFonts w:cs="Arial"/>
        </w:rPr>
        <w:t>Kabely budou uloženy v elektroinstalačních trubkách pod omítkou a nad</w:t>
      </w:r>
      <w:r w:rsidR="00510BDD">
        <w:rPr>
          <w:rFonts w:cs="Arial"/>
        </w:rPr>
        <w:t xml:space="preserve"> pevnými</w:t>
      </w:r>
      <w:r w:rsidRPr="006016AC">
        <w:rPr>
          <w:rFonts w:cs="Arial"/>
        </w:rPr>
        <w:t xml:space="preserve"> podhledy</w:t>
      </w:r>
      <w:r w:rsidR="00510BDD">
        <w:rPr>
          <w:rFonts w:cs="Arial"/>
        </w:rPr>
        <w:t xml:space="preserve">. </w:t>
      </w:r>
    </w:p>
    <w:p w14:paraId="31014B11" w14:textId="77777777" w:rsidR="005E152C" w:rsidRPr="00401902" w:rsidRDefault="005E152C" w:rsidP="001048DE">
      <w:pPr>
        <w:pStyle w:val="Nadpis2"/>
      </w:pPr>
      <w:r w:rsidRPr="00401902">
        <w:t>Napájení ústředny</w:t>
      </w:r>
    </w:p>
    <w:p w14:paraId="19A993DC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Vlastní přívod bude proveden z rozvaděče </w:t>
      </w:r>
      <w:r w:rsidR="0062109C">
        <w:rPr>
          <w:rFonts w:cs="Arial"/>
        </w:rPr>
        <w:t>elektro</w:t>
      </w:r>
      <w:r w:rsidRPr="00401902">
        <w:rPr>
          <w:rFonts w:cs="Arial"/>
        </w:rPr>
        <w:t>, zálohován UPS.</w:t>
      </w:r>
    </w:p>
    <w:p w14:paraId="199A19BE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>Soustava elektropřípojka  3+PEN   AC 230/400V, 50 Hz, TN-C (ČSN 33 2000-3, čl. 312.2.1)</w:t>
      </w:r>
    </w:p>
    <w:p w14:paraId="47DA580D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>Soustava elektroinstalace 3+N+PE AC 230/400V, 50 Hz, TN-S (ČSN 33 2000-3, čl. 312.2.1)</w:t>
      </w:r>
    </w:p>
    <w:p w14:paraId="1E70D63F" w14:textId="77777777" w:rsidR="005E152C" w:rsidRPr="00401902" w:rsidRDefault="005E152C" w:rsidP="005E152C">
      <w:pPr>
        <w:spacing w:after="0"/>
        <w:jc w:val="both"/>
        <w:rPr>
          <w:rFonts w:cs="Arial"/>
        </w:rPr>
      </w:pPr>
      <w:r w:rsidRPr="00401902">
        <w:rPr>
          <w:rFonts w:cs="Arial"/>
        </w:rPr>
        <w:t>Lokální detekce požáru bude plně funkční i při vypnutí napájení 230</w:t>
      </w:r>
      <w:r w:rsidR="00BE37FC">
        <w:rPr>
          <w:rFonts w:cs="Arial"/>
        </w:rPr>
        <w:t xml:space="preserve"> </w:t>
      </w:r>
      <w:r w:rsidRPr="00401902">
        <w:rPr>
          <w:rFonts w:cs="Arial"/>
        </w:rPr>
        <w:t>V pomocí svého vlastního záložního akumulátoru.</w:t>
      </w:r>
    </w:p>
    <w:p w14:paraId="69D7FB76" w14:textId="77777777" w:rsidR="005E152C" w:rsidRPr="00401902" w:rsidRDefault="005E152C" w:rsidP="001048DE">
      <w:pPr>
        <w:pStyle w:val="Nadpis2"/>
      </w:pPr>
      <w:r w:rsidRPr="00401902">
        <w:t>Záložní napájení</w:t>
      </w:r>
    </w:p>
    <w:p w14:paraId="1DD6D023" w14:textId="77777777" w:rsidR="005E152C" w:rsidRDefault="005E152C" w:rsidP="005E152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401902">
        <w:rPr>
          <w:rFonts w:cs="Courier New"/>
        </w:rPr>
        <w:t xml:space="preserve">Záložní napájení slouží jako základní a náhradní napájecí zdroj dobíjený LDP viz čl. 4.2 EN 54-4. Kapacita záložního zdroje vyhovuje EN 54-4 (příloha NA) min. požadavek 24 hod. v pohotovostním stavu z toho 15 minut ve stavu signalizace požáru. Doporučuji </w:t>
      </w:r>
      <w:r w:rsidR="009353A2" w:rsidRPr="00401902">
        <w:rPr>
          <w:rFonts w:cs="Courier New"/>
        </w:rPr>
        <w:t>vyměnit</w:t>
      </w:r>
      <w:r w:rsidR="009353A2">
        <w:rPr>
          <w:rFonts w:cs="Courier New"/>
        </w:rPr>
        <w:t xml:space="preserve"> akumulátory</w:t>
      </w:r>
      <w:r w:rsidR="009353A2" w:rsidRPr="00401902">
        <w:rPr>
          <w:rFonts w:cs="Courier New"/>
        </w:rPr>
        <w:t xml:space="preserve"> </w:t>
      </w:r>
      <w:r w:rsidRPr="00401902">
        <w:rPr>
          <w:rFonts w:cs="Courier New"/>
        </w:rPr>
        <w:t>po 4 letech provozu za nové pro zajištění správného a spolehlivého chodu zařízení. Na zařízení se musí provádět pravidelné kontroly. Při revizi (1x za 6 měsíců) musí být provedeno měření kapacity, úbytků napětí i vybíjení a v případě nestandardních hodnot musí být AKU vyměněn.</w:t>
      </w:r>
    </w:p>
    <w:p w14:paraId="54FB8244" w14:textId="77777777" w:rsidR="00F87411" w:rsidRDefault="00F87411" w:rsidP="00F87411">
      <w:pPr>
        <w:pStyle w:val="Nadpis1"/>
      </w:pPr>
      <w:bookmarkStart w:id="15" w:name="_Toc2953328"/>
      <w:bookmarkStart w:id="16" w:name="_Toc14703048"/>
      <w:r>
        <w:t>Dohledový videosystém (VSS)</w:t>
      </w:r>
      <w:bookmarkEnd w:id="15"/>
      <w:bookmarkEnd w:id="16"/>
    </w:p>
    <w:p w14:paraId="4FC14358" w14:textId="77777777" w:rsidR="00F87411" w:rsidRDefault="00F87411" w:rsidP="00F87411">
      <w:pPr>
        <w:pStyle w:val="Nadpis2"/>
      </w:pPr>
      <w:bookmarkStart w:id="17" w:name="_Toc2953329"/>
      <w:bookmarkStart w:id="18" w:name="_Toc14703049"/>
      <w:r>
        <w:t>Popis systému</w:t>
      </w:r>
      <w:bookmarkEnd w:id="17"/>
      <w:bookmarkEnd w:id="18"/>
    </w:p>
    <w:p w14:paraId="44415C3D" w14:textId="77777777" w:rsidR="00F87411" w:rsidRPr="00F87411" w:rsidRDefault="00F87411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 xml:space="preserve">V objektu a jeho okolí je navržen IP dohledový video systém (uzavřený televizní okruh CCTV), zajišťující celkový přehled o dění v objektu. Kamery budou instalovány </w:t>
      </w:r>
      <w:r w:rsidR="004A774E">
        <w:rPr>
          <w:rFonts w:cs="Courier New"/>
        </w:rPr>
        <w:t>ve všech výstavních prostorech expozic</w:t>
      </w:r>
      <w:r w:rsidRPr="00F87411">
        <w:rPr>
          <w:rFonts w:cs="Courier New"/>
        </w:rPr>
        <w:t>.</w:t>
      </w:r>
      <w:r w:rsidR="004A774E">
        <w:rPr>
          <w:rFonts w:cs="Courier New"/>
        </w:rPr>
        <w:t xml:space="preserve"> Finální rozmístění kamer je potřeba upravit dle skutečného rozmístění expozice, které není součástí projektové dokumentace. </w:t>
      </w:r>
      <w:r w:rsidRPr="00F87411">
        <w:rPr>
          <w:rFonts w:cs="Courier New"/>
        </w:rPr>
        <w:t xml:space="preserve">Navržené zařízení umožňuje pořizování záznamu. </w:t>
      </w:r>
    </w:p>
    <w:p w14:paraId="1A7C5EC3" w14:textId="77777777" w:rsidR="00F87411" w:rsidRDefault="00F87411" w:rsidP="00F87411">
      <w:pPr>
        <w:pStyle w:val="Nadpis2"/>
      </w:pPr>
      <w:bookmarkStart w:id="19" w:name="_Toc2953330"/>
      <w:bookmarkStart w:id="20" w:name="_Toc14703050"/>
      <w:r>
        <w:t>Ochrana osobních údajů</w:t>
      </w:r>
      <w:bookmarkEnd w:id="19"/>
      <w:bookmarkEnd w:id="20"/>
    </w:p>
    <w:p w14:paraId="304C2712" w14:textId="77777777" w:rsidR="00F87411" w:rsidRPr="00F87411" w:rsidRDefault="00F87411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>Při zprovoznění systému bude definováno, které kamery budou pouze monitorované a které budou se záznamem</w:t>
      </w:r>
      <w:r>
        <w:rPr>
          <w:rFonts w:cs="Courier New"/>
        </w:rPr>
        <w:t>, případně v jaké časy bude záznam pořizován</w:t>
      </w:r>
      <w:r w:rsidRPr="00F87411">
        <w:rPr>
          <w:rFonts w:cs="Courier New"/>
        </w:rPr>
        <w:t xml:space="preserve">. Definována bude také doba, po kterou bude záznam pořizován a uchováván. </w:t>
      </w:r>
      <w:r>
        <w:rPr>
          <w:rFonts w:cs="Courier New"/>
        </w:rPr>
        <w:t>Provozovatel kamerového systému (správce údajů) musí vytvořit provozní směrnici ochrany osobních údajů, která stanoví účel zpracování, způsob ochrany dat před zneuž</w:t>
      </w:r>
      <w:r w:rsidR="00BE37FC">
        <w:rPr>
          <w:rFonts w:cs="Courier New"/>
        </w:rPr>
        <w:t>i</w:t>
      </w:r>
      <w:r>
        <w:rPr>
          <w:rFonts w:cs="Courier New"/>
        </w:rPr>
        <w:t xml:space="preserve">tím, odpovědné osoby a další náležitosti vyžadované zákonem č. 110/2019 Sb., který aplikuje evropské nařízení GDPR na území České republiky. Užitečné informace lze najít na webu Úřadu pro ochranu osobních údajů: </w:t>
      </w:r>
      <w:hyperlink r:id="rId15" w:history="1">
        <w:r w:rsidRPr="00F87411">
          <w:rPr>
            <w:rStyle w:val="Hypertextovodkaz"/>
            <w:rFonts w:cs="Courier New"/>
            <w:color w:val="auto"/>
          </w:rPr>
          <w:t>www.uoou.cz</w:t>
        </w:r>
      </w:hyperlink>
      <w:r>
        <w:rPr>
          <w:rFonts w:cs="Courier New"/>
        </w:rPr>
        <w:t xml:space="preserve">. </w:t>
      </w:r>
    </w:p>
    <w:p w14:paraId="7483BB45" w14:textId="77777777" w:rsidR="00F87411" w:rsidRDefault="00F87411" w:rsidP="00F87411">
      <w:pPr>
        <w:pStyle w:val="Nadpis2"/>
      </w:pPr>
      <w:bookmarkStart w:id="21" w:name="_Toc2953331"/>
      <w:bookmarkStart w:id="22" w:name="_Toc14703051"/>
      <w:r>
        <w:lastRenderedPageBreak/>
        <w:t>Normy</w:t>
      </w:r>
      <w:bookmarkEnd w:id="21"/>
      <w:bookmarkEnd w:id="22"/>
    </w:p>
    <w:p w14:paraId="7CB44F2F" w14:textId="77777777" w:rsidR="00F87411" w:rsidRPr="00F87411" w:rsidRDefault="00F87411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>Systém CCTV je navržen v souladu s požadavky norem:</w:t>
      </w:r>
    </w:p>
    <w:p w14:paraId="2C4EA780" w14:textId="77777777" w:rsidR="00F87411" w:rsidRDefault="00F87411" w:rsidP="00F87411">
      <w:r>
        <w:t>•</w:t>
      </w:r>
      <w:r>
        <w:tab/>
        <w:t>ČSN EN 62676-1-1 VSS – Systémové požadavky</w:t>
      </w:r>
    </w:p>
    <w:p w14:paraId="607CA2DA" w14:textId="77777777" w:rsidR="00F87411" w:rsidRDefault="00F87411" w:rsidP="00F87411">
      <w:pPr>
        <w:pStyle w:val="Nadpis2"/>
      </w:pPr>
      <w:bookmarkStart w:id="23" w:name="_Toc2953332"/>
      <w:bookmarkStart w:id="24" w:name="_Toc14703052"/>
      <w:r>
        <w:t>Stupeň zabezpečení</w:t>
      </w:r>
      <w:bookmarkEnd w:id="23"/>
      <w:bookmarkEnd w:id="24"/>
    </w:p>
    <w:p w14:paraId="28807EBB" w14:textId="77777777" w:rsidR="00F87411" w:rsidRPr="00F87411" w:rsidRDefault="00F87411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 xml:space="preserve">Systém je navržen ve stupni zabezpečení 2 dle ČSN EN 62676-1-1. </w:t>
      </w:r>
    </w:p>
    <w:p w14:paraId="648A973C" w14:textId="77777777" w:rsidR="00F87411" w:rsidRDefault="00F87411" w:rsidP="00F87411">
      <w:pPr>
        <w:pStyle w:val="Nadpis2"/>
      </w:pPr>
      <w:bookmarkStart w:id="25" w:name="_Toc2953333"/>
      <w:bookmarkStart w:id="26" w:name="_Toc14703053"/>
      <w:bookmarkStart w:id="27" w:name="_Hlk19782747"/>
      <w:r>
        <w:t xml:space="preserve">Zařízení systému </w:t>
      </w:r>
      <w:bookmarkEnd w:id="25"/>
      <w:bookmarkEnd w:id="26"/>
      <w:r w:rsidR="00BE37FC">
        <w:t>VSS</w:t>
      </w:r>
    </w:p>
    <w:p w14:paraId="33D8C7B1" w14:textId="77777777" w:rsidR="00F87411" w:rsidRPr="00F87411" w:rsidRDefault="00F87411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 xml:space="preserve">Systém </w:t>
      </w:r>
      <w:r w:rsidR="00BE37FC">
        <w:rPr>
          <w:rFonts w:cs="Courier New"/>
        </w:rPr>
        <w:t>VSS</w:t>
      </w:r>
      <w:r w:rsidRPr="00F87411">
        <w:rPr>
          <w:rFonts w:cs="Courier New"/>
        </w:rPr>
        <w:t xml:space="preserve"> bude vybaven síťovým záznamovým zařízením s datovým úložištěm pro uchovávání záznamů kamer. Dále budou součástí kamerového systému PoE switche, které </w:t>
      </w:r>
      <w:r>
        <w:rPr>
          <w:rFonts w:cs="Courier New"/>
        </w:rPr>
        <w:t>zajistí</w:t>
      </w:r>
      <w:r w:rsidRPr="00F87411">
        <w:rPr>
          <w:rFonts w:cs="Courier New"/>
        </w:rPr>
        <w:t xml:space="preserve"> datové připojení a napájení kamer. V objektu budou dle půdorysů rozmístěny IP kamery s minimálním rozlišením Full HD 1920x1080 při alespoň 30 snímků za sekundu, inteligentním IR přísvitem na vzdálenost 15 </w:t>
      </w:r>
      <w:r w:rsidR="00BE37FC">
        <w:rPr>
          <w:rFonts w:cs="Courier New"/>
        </w:rPr>
        <w:t>–</w:t>
      </w:r>
      <w:r w:rsidRPr="00F87411">
        <w:rPr>
          <w:rFonts w:cs="Courier New"/>
        </w:rPr>
        <w:t xml:space="preserve"> 30</w:t>
      </w:r>
      <w:r w:rsidR="00BE37FC">
        <w:rPr>
          <w:rFonts w:cs="Courier New"/>
        </w:rPr>
        <w:t xml:space="preserve"> </w:t>
      </w:r>
      <w:r w:rsidRPr="00F87411">
        <w:rPr>
          <w:rFonts w:cs="Courier New"/>
        </w:rPr>
        <w:t>m (v závislosti na umístění kamery), automatickým ostřením s úhly záběru min. od 35° do 100° nebo širším.</w:t>
      </w:r>
    </w:p>
    <w:p w14:paraId="1E71A48C" w14:textId="77777777" w:rsidR="00BE37FC" w:rsidRPr="00392C65" w:rsidRDefault="00BE37FC" w:rsidP="00BE37FC">
      <w:pPr>
        <w:pStyle w:val="Nadpis2"/>
      </w:pPr>
      <w:bookmarkStart w:id="28" w:name="_Toc14703033"/>
      <w:bookmarkEnd w:id="27"/>
      <w:r w:rsidRPr="00392C65">
        <w:t>Rozvody</w:t>
      </w:r>
      <w:bookmarkEnd w:id="28"/>
      <w:r>
        <w:t xml:space="preserve"> VSS</w:t>
      </w:r>
    </w:p>
    <w:p w14:paraId="08C26122" w14:textId="77777777" w:rsidR="00BE37FC" w:rsidRPr="00BE37FC" w:rsidRDefault="00BE37FC" w:rsidP="00BE37F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BE37FC">
        <w:rPr>
          <w:rFonts w:cs="Courier New"/>
        </w:rPr>
        <w:t>Uložení kabelů bude provedeno v ohebných instalačních trubkách pod omítkou. Datové kabely nesmí být v souběhu se silovými kabely – elektro 230</w:t>
      </w:r>
      <w:r>
        <w:rPr>
          <w:rFonts w:cs="Courier New"/>
        </w:rPr>
        <w:t xml:space="preserve"> </w:t>
      </w:r>
      <w:r w:rsidRPr="00BE37FC">
        <w:rPr>
          <w:rFonts w:cs="Courier New"/>
        </w:rPr>
        <w:t>V / 400</w:t>
      </w:r>
      <w:r>
        <w:rPr>
          <w:rFonts w:cs="Courier New"/>
        </w:rPr>
        <w:t xml:space="preserve"> </w:t>
      </w:r>
      <w:r w:rsidRPr="00BE37FC">
        <w:rPr>
          <w:rFonts w:cs="Courier New"/>
        </w:rPr>
        <w:t>V. Pokud není možné trasy zcela oddělit, je nutné dodržet požadavek na minimální odstup 20</w:t>
      </w:r>
      <w:r>
        <w:rPr>
          <w:rFonts w:cs="Courier New"/>
        </w:rPr>
        <w:t xml:space="preserve"> </w:t>
      </w:r>
      <w:r w:rsidRPr="00BE37FC">
        <w:rPr>
          <w:rFonts w:cs="Courier New"/>
        </w:rPr>
        <w:t>cm při souběhu nad 1</w:t>
      </w:r>
      <w:r>
        <w:rPr>
          <w:rFonts w:cs="Courier New"/>
        </w:rPr>
        <w:t xml:space="preserve"> </w:t>
      </w:r>
      <w:r w:rsidRPr="00BE37FC">
        <w:rPr>
          <w:rFonts w:cs="Courier New"/>
        </w:rPr>
        <w:t xml:space="preserve">m. </w:t>
      </w:r>
    </w:p>
    <w:p w14:paraId="241519C3" w14:textId="77777777" w:rsidR="00BE37FC" w:rsidRPr="00392C65" w:rsidRDefault="00BE37FC" w:rsidP="00BE37FC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14:paraId="588A2175" w14:textId="77777777" w:rsidR="00BE37FC" w:rsidRDefault="00BE37FC" w:rsidP="00BE37FC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U/UTP CAT6</w:t>
      </w:r>
      <w:r w:rsidRPr="00854C41">
        <w:rPr>
          <w:rFonts w:cs="Courier New"/>
        </w:rPr>
        <w:t xml:space="preserve"> – data</w:t>
      </w:r>
      <w:r>
        <w:rPr>
          <w:rFonts w:cs="Courier New"/>
        </w:rPr>
        <w:t xml:space="preserve"> (obraz)</w:t>
      </w:r>
    </w:p>
    <w:p w14:paraId="46327A9E" w14:textId="77777777" w:rsidR="005E152C" w:rsidRPr="00401902" w:rsidRDefault="006F5555" w:rsidP="001048DE">
      <w:pPr>
        <w:pStyle w:val="Nadpis1"/>
      </w:pPr>
      <w:r>
        <w:t>Z</w:t>
      </w:r>
      <w:r w:rsidR="005E152C" w:rsidRPr="00401902">
        <w:t>ávěr</w:t>
      </w:r>
    </w:p>
    <w:p w14:paraId="1996D592" w14:textId="77777777" w:rsidR="005E152C" w:rsidRPr="00F87411" w:rsidRDefault="005E152C" w:rsidP="00F87411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F87411">
        <w:rPr>
          <w:rFonts w:cs="Courier New"/>
        </w:rPr>
        <w:t>Při provádění všech prací je nutné dodržet technické požadavky výrobce, požadavky technických norem, požárně bezpečnostního řešení a této technické zprávy. Jakékoli změny musí být projednány s projektantem.</w:t>
      </w:r>
      <w:r w:rsidR="0062109C" w:rsidRPr="00F87411">
        <w:rPr>
          <w:rFonts w:cs="Courier New"/>
        </w:rPr>
        <w:t xml:space="preserve"> </w:t>
      </w:r>
      <w:r w:rsidR="00510BDD" w:rsidRPr="00F87411">
        <w:rPr>
          <w:rFonts w:cs="Courier New"/>
        </w:rPr>
        <w:t>Všechny komponenty systému jsou specifikovány ve výkazu výměr</w:t>
      </w:r>
      <w:r w:rsidR="0062109C" w:rsidRPr="00F87411">
        <w:rPr>
          <w:rFonts w:cs="Courier New"/>
        </w:rPr>
        <w:t xml:space="preserve">. </w:t>
      </w:r>
    </w:p>
    <w:p w14:paraId="4A8BF12B" w14:textId="77777777" w:rsidR="00DF462F" w:rsidRPr="00401902" w:rsidRDefault="00DF462F" w:rsidP="005E152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14:paraId="75AFE21F" w14:textId="059F093A" w:rsidR="005E152C" w:rsidRDefault="005E152C" w:rsidP="005E152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V Karlových Varech, </w:t>
      </w:r>
      <w:r w:rsidR="009E6B00">
        <w:rPr>
          <w:rFonts w:cs="Arial"/>
        </w:rPr>
        <w:t>31</w:t>
      </w:r>
      <w:r w:rsidR="009353A2">
        <w:rPr>
          <w:rFonts w:cs="Arial"/>
        </w:rPr>
        <w:t xml:space="preserve">. </w:t>
      </w:r>
      <w:r w:rsidR="009E6B00">
        <w:rPr>
          <w:rFonts w:cs="Arial"/>
        </w:rPr>
        <w:t>března</w:t>
      </w:r>
      <w:r w:rsidR="009353A2">
        <w:rPr>
          <w:rFonts w:cs="Arial"/>
        </w:rPr>
        <w:t xml:space="preserve"> 20</w:t>
      </w:r>
      <w:r w:rsidR="009E6B00">
        <w:rPr>
          <w:rFonts w:cs="Arial"/>
        </w:rPr>
        <w:t>20</w:t>
      </w:r>
      <w:bookmarkStart w:id="29" w:name="_GoBack"/>
      <w:bookmarkEnd w:id="29"/>
    </w:p>
    <w:p w14:paraId="7782C7DA" w14:textId="77777777" w:rsidR="005E152C" w:rsidRPr="00401902" w:rsidRDefault="005E152C" w:rsidP="005E152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  <w:noProof/>
          <w:lang w:eastAsia="cs-CZ"/>
        </w:rPr>
      </w:pPr>
    </w:p>
    <w:p w14:paraId="6F39FB7D" w14:textId="77777777" w:rsidR="005E152C" w:rsidRPr="00401902" w:rsidRDefault="005E152C" w:rsidP="005E152C">
      <w:pPr>
        <w:tabs>
          <w:tab w:val="left" w:pos="2552"/>
          <w:tab w:val="left" w:pos="2835"/>
          <w:tab w:val="left" w:pos="3119"/>
        </w:tabs>
        <w:spacing w:after="0"/>
        <w:jc w:val="right"/>
        <w:rPr>
          <w:rFonts w:cs="Arial"/>
        </w:rPr>
      </w:pPr>
    </w:p>
    <w:p w14:paraId="1E71F002" w14:textId="77777777" w:rsidR="005E152C" w:rsidRPr="00401902" w:rsidRDefault="005E152C" w:rsidP="005E152C">
      <w:pPr>
        <w:tabs>
          <w:tab w:val="left" w:pos="2552"/>
          <w:tab w:val="left" w:pos="2835"/>
          <w:tab w:val="left" w:pos="3119"/>
        </w:tabs>
        <w:spacing w:after="0"/>
        <w:jc w:val="right"/>
        <w:rPr>
          <w:rFonts w:cs="Arial"/>
        </w:rPr>
      </w:pPr>
      <w:r w:rsidRPr="00401902">
        <w:rPr>
          <w:rFonts w:cs="Arial"/>
        </w:rPr>
        <w:t>Jan Beran</w:t>
      </w:r>
    </w:p>
    <w:p w14:paraId="14115179" w14:textId="77777777" w:rsidR="005E152C" w:rsidRPr="00401902" w:rsidRDefault="005E152C" w:rsidP="005E152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14:paraId="776F5324" w14:textId="77777777" w:rsidR="005E152C" w:rsidRPr="00401902" w:rsidRDefault="005E152C" w:rsidP="005E152C">
      <w:pPr>
        <w:spacing w:after="0"/>
        <w:jc w:val="both"/>
        <w:rPr>
          <w:rFonts w:cs="Arial"/>
        </w:rPr>
      </w:pPr>
    </w:p>
    <w:sectPr w:rsidR="005E152C" w:rsidRPr="00401902" w:rsidSect="008250E8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EFCD" w14:textId="77777777" w:rsidR="001A0F5F" w:rsidRDefault="001A0F5F" w:rsidP="008250E8">
      <w:r>
        <w:separator/>
      </w:r>
    </w:p>
  </w:endnote>
  <w:endnote w:type="continuationSeparator" w:id="0">
    <w:p w14:paraId="48889874" w14:textId="77777777" w:rsidR="001A0F5F" w:rsidRDefault="001A0F5F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1E59" w14:textId="77777777" w:rsidR="00AC7AC9" w:rsidRPr="00593F84" w:rsidRDefault="00AC7AC9" w:rsidP="00401902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13EDA86E" wp14:editId="1F634EAB">
          <wp:extent cx="1367790" cy="127850"/>
          <wp:effectExtent l="0" t="0" r="3810" b="5715"/>
          <wp:docPr id="6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A27F6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32F0F" w14:textId="77777777" w:rsidR="001A0F5F" w:rsidRDefault="001A0F5F" w:rsidP="008250E8">
      <w:r>
        <w:separator/>
      </w:r>
    </w:p>
  </w:footnote>
  <w:footnote w:type="continuationSeparator" w:id="0">
    <w:p w14:paraId="02C32CFC" w14:textId="77777777" w:rsidR="001A0F5F" w:rsidRDefault="001A0F5F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CB11" w14:textId="77777777" w:rsidR="00401902" w:rsidRDefault="009E6B00">
    <w:pPr>
      <w:pStyle w:val="Zhlav"/>
    </w:pPr>
    <w:r>
      <w:rPr>
        <w:noProof/>
      </w:rPr>
      <w:pict w14:anchorId="02F88A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409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A3640" w14:textId="77777777" w:rsidR="00AC7AC9" w:rsidRDefault="00AC7AC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CBB8" w14:textId="77777777" w:rsidR="00AC7AC9" w:rsidRPr="003877D8" w:rsidRDefault="00AC7AC9" w:rsidP="00401902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 slaboproudých systémů</w:t>
    </w:r>
    <w:r>
      <w:tab/>
    </w:r>
    <w:r>
      <w:tab/>
    </w:r>
    <w:r w:rsidR="007F3FCA">
      <w:t>Muzeum NEJDEK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FA0AD" w14:textId="77777777" w:rsidR="00AC7AC9" w:rsidRDefault="00AC7A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3431"/>
    <w:multiLevelType w:val="hybridMultilevel"/>
    <w:tmpl w:val="E49CEF4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3106380"/>
    <w:multiLevelType w:val="hybridMultilevel"/>
    <w:tmpl w:val="B02E73FE"/>
    <w:lvl w:ilvl="0" w:tplc="9FCAB378">
      <w:start w:val="6"/>
      <w:numFmt w:val="bullet"/>
      <w:lvlText w:val="-"/>
      <w:lvlJc w:val="left"/>
      <w:pPr>
        <w:ind w:left="502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B2E6E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346B7C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674F91"/>
    <w:multiLevelType w:val="hybridMultilevel"/>
    <w:tmpl w:val="890C1D1C"/>
    <w:lvl w:ilvl="0" w:tplc="FEEA1A98">
      <w:start w:val="1"/>
      <w:numFmt w:val="decimal"/>
      <w:lvlText w:val="%1)"/>
      <w:lvlJc w:val="left"/>
      <w:pPr>
        <w:ind w:left="502" w:hanging="360"/>
      </w:pPr>
      <w:rPr>
        <w:b/>
        <w:color w:val="auto"/>
        <w:sz w:val="36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4FF620F"/>
    <w:multiLevelType w:val="hybridMultilevel"/>
    <w:tmpl w:val="CC067E4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9331C5E"/>
    <w:multiLevelType w:val="multilevel"/>
    <w:tmpl w:val="7042075E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8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62474CA"/>
    <w:multiLevelType w:val="hybridMultilevel"/>
    <w:tmpl w:val="81306F0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A957777"/>
    <w:multiLevelType w:val="multilevel"/>
    <w:tmpl w:val="AA6EE9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7"/>
  </w:num>
  <w:num w:numId="11">
    <w:abstractNumId w:val="0"/>
  </w:num>
  <w:num w:numId="12">
    <w:abstractNumId w:val="8"/>
  </w:num>
  <w:num w:numId="13">
    <w:abstractNumId w:val="10"/>
  </w:num>
  <w:num w:numId="14">
    <w:abstractNumId w:val="7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02AB"/>
    <w:rsid w:val="00012143"/>
    <w:rsid w:val="00024240"/>
    <w:rsid w:val="0002674E"/>
    <w:rsid w:val="00032024"/>
    <w:rsid w:val="000372AE"/>
    <w:rsid w:val="000476C1"/>
    <w:rsid w:val="00062000"/>
    <w:rsid w:val="00065841"/>
    <w:rsid w:val="0007243D"/>
    <w:rsid w:val="0008608F"/>
    <w:rsid w:val="00091009"/>
    <w:rsid w:val="000A24FC"/>
    <w:rsid w:val="000A4442"/>
    <w:rsid w:val="000A61DC"/>
    <w:rsid w:val="000C1723"/>
    <w:rsid w:val="000C28AB"/>
    <w:rsid w:val="000D29E2"/>
    <w:rsid w:val="000D61EF"/>
    <w:rsid w:val="000D68DE"/>
    <w:rsid w:val="000E45C6"/>
    <w:rsid w:val="000F77E6"/>
    <w:rsid w:val="001022E4"/>
    <w:rsid w:val="001048DE"/>
    <w:rsid w:val="00110B05"/>
    <w:rsid w:val="001476A5"/>
    <w:rsid w:val="00153F0C"/>
    <w:rsid w:val="00163C51"/>
    <w:rsid w:val="00183D2F"/>
    <w:rsid w:val="001A0F5F"/>
    <w:rsid w:val="001A3D30"/>
    <w:rsid w:val="001C7A67"/>
    <w:rsid w:val="001F036C"/>
    <w:rsid w:val="001F329F"/>
    <w:rsid w:val="00236F8C"/>
    <w:rsid w:val="002441E8"/>
    <w:rsid w:val="00255051"/>
    <w:rsid w:val="00257C53"/>
    <w:rsid w:val="00260F0A"/>
    <w:rsid w:val="00277D9C"/>
    <w:rsid w:val="00277E03"/>
    <w:rsid w:val="002904F6"/>
    <w:rsid w:val="00291843"/>
    <w:rsid w:val="002A036D"/>
    <w:rsid w:val="002A6B77"/>
    <w:rsid w:val="002B4193"/>
    <w:rsid w:val="002C1E40"/>
    <w:rsid w:val="002E0E7A"/>
    <w:rsid w:val="0030322B"/>
    <w:rsid w:val="0030399F"/>
    <w:rsid w:val="00304981"/>
    <w:rsid w:val="00310BA1"/>
    <w:rsid w:val="00322599"/>
    <w:rsid w:val="0033343A"/>
    <w:rsid w:val="0035074D"/>
    <w:rsid w:val="00360AE4"/>
    <w:rsid w:val="0036398F"/>
    <w:rsid w:val="00371B69"/>
    <w:rsid w:val="003724F6"/>
    <w:rsid w:val="00376B8B"/>
    <w:rsid w:val="003867F6"/>
    <w:rsid w:val="003877D8"/>
    <w:rsid w:val="003A7E69"/>
    <w:rsid w:val="003B007E"/>
    <w:rsid w:val="003B04A9"/>
    <w:rsid w:val="003C0878"/>
    <w:rsid w:val="003C0BA8"/>
    <w:rsid w:val="003E0C83"/>
    <w:rsid w:val="003E46F5"/>
    <w:rsid w:val="003E48F4"/>
    <w:rsid w:val="003F2E18"/>
    <w:rsid w:val="00401902"/>
    <w:rsid w:val="00403071"/>
    <w:rsid w:val="00406092"/>
    <w:rsid w:val="00411B1A"/>
    <w:rsid w:val="0041513C"/>
    <w:rsid w:val="0041751A"/>
    <w:rsid w:val="00422706"/>
    <w:rsid w:val="00422D79"/>
    <w:rsid w:val="0042742D"/>
    <w:rsid w:val="00436829"/>
    <w:rsid w:val="00436EC8"/>
    <w:rsid w:val="00440E1A"/>
    <w:rsid w:val="004454B1"/>
    <w:rsid w:val="00457DE1"/>
    <w:rsid w:val="004606B5"/>
    <w:rsid w:val="00461ECB"/>
    <w:rsid w:val="0046223F"/>
    <w:rsid w:val="00485B7D"/>
    <w:rsid w:val="004867BC"/>
    <w:rsid w:val="004901D3"/>
    <w:rsid w:val="0049219F"/>
    <w:rsid w:val="004A4F34"/>
    <w:rsid w:val="004A774E"/>
    <w:rsid w:val="004C055D"/>
    <w:rsid w:val="004D106F"/>
    <w:rsid w:val="004D1329"/>
    <w:rsid w:val="004F1ACE"/>
    <w:rsid w:val="004F4093"/>
    <w:rsid w:val="004F5689"/>
    <w:rsid w:val="00503C96"/>
    <w:rsid w:val="00507440"/>
    <w:rsid w:val="00510BDD"/>
    <w:rsid w:val="00516417"/>
    <w:rsid w:val="00527E62"/>
    <w:rsid w:val="0054422B"/>
    <w:rsid w:val="005453B1"/>
    <w:rsid w:val="00562E7C"/>
    <w:rsid w:val="0056374B"/>
    <w:rsid w:val="005713AE"/>
    <w:rsid w:val="00575D99"/>
    <w:rsid w:val="00594F6C"/>
    <w:rsid w:val="00595B01"/>
    <w:rsid w:val="005A384E"/>
    <w:rsid w:val="005C4838"/>
    <w:rsid w:val="005D01A0"/>
    <w:rsid w:val="005E0397"/>
    <w:rsid w:val="005E152C"/>
    <w:rsid w:val="005E2D8B"/>
    <w:rsid w:val="005E4EB2"/>
    <w:rsid w:val="005F4572"/>
    <w:rsid w:val="006016AC"/>
    <w:rsid w:val="00601B44"/>
    <w:rsid w:val="00614C61"/>
    <w:rsid w:val="0062109C"/>
    <w:rsid w:val="0063248A"/>
    <w:rsid w:val="006565E2"/>
    <w:rsid w:val="00660C34"/>
    <w:rsid w:val="00662BDB"/>
    <w:rsid w:val="00673D24"/>
    <w:rsid w:val="006804FD"/>
    <w:rsid w:val="00683801"/>
    <w:rsid w:val="006869B9"/>
    <w:rsid w:val="00696E1B"/>
    <w:rsid w:val="006B2E41"/>
    <w:rsid w:val="006B33DA"/>
    <w:rsid w:val="006B3423"/>
    <w:rsid w:val="006B34BA"/>
    <w:rsid w:val="006B5937"/>
    <w:rsid w:val="006C21B7"/>
    <w:rsid w:val="006C5CB0"/>
    <w:rsid w:val="006D12A7"/>
    <w:rsid w:val="006E1616"/>
    <w:rsid w:val="006E753D"/>
    <w:rsid w:val="006F0EF6"/>
    <w:rsid w:val="006F5555"/>
    <w:rsid w:val="00711A85"/>
    <w:rsid w:val="007135A1"/>
    <w:rsid w:val="00713EF9"/>
    <w:rsid w:val="0071489A"/>
    <w:rsid w:val="0072055E"/>
    <w:rsid w:val="007277AF"/>
    <w:rsid w:val="007320AC"/>
    <w:rsid w:val="007370BB"/>
    <w:rsid w:val="007454C1"/>
    <w:rsid w:val="00753758"/>
    <w:rsid w:val="007808C8"/>
    <w:rsid w:val="00793794"/>
    <w:rsid w:val="00794B64"/>
    <w:rsid w:val="007B3EC4"/>
    <w:rsid w:val="007C03B1"/>
    <w:rsid w:val="007C0D2F"/>
    <w:rsid w:val="007C1B5F"/>
    <w:rsid w:val="007D56A9"/>
    <w:rsid w:val="007E25BA"/>
    <w:rsid w:val="007F3FCA"/>
    <w:rsid w:val="00804E95"/>
    <w:rsid w:val="00814DA6"/>
    <w:rsid w:val="008250E8"/>
    <w:rsid w:val="00826D13"/>
    <w:rsid w:val="00830B54"/>
    <w:rsid w:val="0086160A"/>
    <w:rsid w:val="00866750"/>
    <w:rsid w:val="00881AF1"/>
    <w:rsid w:val="00891721"/>
    <w:rsid w:val="008948A7"/>
    <w:rsid w:val="00895C4D"/>
    <w:rsid w:val="008964EB"/>
    <w:rsid w:val="0089739F"/>
    <w:rsid w:val="008A0D01"/>
    <w:rsid w:val="008B4FE4"/>
    <w:rsid w:val="008D2580"/>
    <w:rsid w:val="008E433F"/>
    <w:rsid w:val="008F7341"/>
    <w:rsid w:val="009353A2"/>
    <w:rsid w:val="00935FA9"/>
    <w:rsid w:val="009367E9"/>
    <w:rsid w:val="00954F26"/>
    <w:rsid w:val="0096556E"/>
    <w:rsid w:val="009703D4"/>
    <w:rsid w:val="0097791D"/>
    <w:rsid w:val="00981D26"/>
    <w:rsid w:val="00990B5B"/>
    <w:rsid w:val="00993E3E"/>
    <w:rsid w:val="0099475A"/>
    <w:rsid w:val="00997D9F"/>
    <w:rsid w:val="009A27D7"/>
    <w:rsid w:val="009B054D"/>
    <w:rsid w:val="009C7490"/>
    <w:rsid w:val="009D509C"/>
    <w:rsid w:val="009E0143"/>
    <w:rsid w:val="009E6469"/>
    <w:rsid w:val="009E6B00"/>
    <w:rsid w:val="00A134E8"/>
    <w:rsid w:val="00A2380F"/>
    <w:rsid w:val="00A27F6D"/>
    <w:rsid w:val="00A4393C"/>
    <w:rsid w:val="00A44832"/>
    <w:rsid w:val="00A7723C"/>
    <w:rsid w:val="00A80E4E"/>
    <w:rsid w:val="00A81B16"/>
    <w:rsid w:val="00A93637"/>
    <w:rsid w:val="00AA2626"/>
    <w:rsid w:val="00AA2896"/>
    <w:rsid w:val="00AB772F"/>
    <w:rsid w:val="00AC7AC9"/>
    <w:rsid w:val="00AD0EF7"/>
    <w:rsid w:val="00AE0CEB"/>
    <w:rsid w:val="00AE0E1D"/>
    <w:rsid w:val="00AE523E"/>
    <w:rsid w:val="00B20A00"/>
    <w:rsid w:val="00B524F1"/>
    <w:rsid w:val="00B64D02"/>
    <w:rsid w:val="00B7295A"/>
    <w:rsid w:val="00B94414"/>
    <w:rsid w:val="00BE37FC"/>
    <w:rsid w:val="00BF2B9A"/>
    <w:rsid w:val="00BF43F5"/>
    <w:rsid w:val="00C05CE6"/>
    <w:rsid w:val="00C05F3B"/>
    <w:rsid w:val="00C13E07"/>
    <w:rsid w:val="00C1703A"/>
    <w:rsid w:val="00C255A9"/>
    <w:rsid w:val="00C45A96"/>
    <w:rsid w:val="00C52B90"/>
    <w:rsid w:val="00C554D4"/>
    <w:rsid w:val="00C637C4"/>
    <w:rsid w:val="00C85943"/>
    <w:rsid w:val="00C924CE"/>
    <w:rsid w:val="00CB104C"/>
    <w:rsid w:val="00CC5713"/>
    <w:rsid w:val="00CD1CB7"/>
    <w:rsid w:val="00CD4FB4"/>
    <w:rsid w:val="00CE3600"/>
    <w:rsid w:val="00CF23C4"/>
    <w:rsid w:val="00CF6890"/>
    <w:rsid w:val="00D039A1"/>
    <w:rsid w:val="00D06EAF"/>
    <w:rsid w:val="00D14E0C"/>
    <w:rsid w:val="00D3156E"/>
    <w:rsid w:val="00D32D88"/>
    <w:rsid w:val="00D3544A"/>
    <w:rsid w:val="00D37C65"/>
    <w:rsid w:val="00D37DA7"/>
    <w:rsid w:val="00D52807"/>
    <w:rsid w:val="00D67364"/>
    <w:rsid w:val="00D8380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DF462F"/>
    <w:rsid w:val="00E03FBD"/>
    <w:rsid w:val="00E062CF"/>
    <w:rsid w:val="00E24EB6"/>
    <w:rsid w:val="00E3676C"/>
    <w:rsid w:val="00E60B4D"/>
    <w:rsid w:val="00E61A64"/>
    <w:rsid w:val="00E711E5"/>
    <w:rsid w:val="00E712E8"/>
    <w:rsid w:val="00E7679E"/>
    <w:rsid w:val="00E92782"/>
    <w:rsid w:val="00EA61B6"/>
    <w:rsid w:val="00EB1C90"/>
    <w:rsid w:val="00F14CED"/>
    <w:rsid w:val="00F21725"/>
    <w:rsid w:val="00F242E2"/>
    <w:rsid w:val="00F25596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87411"/>
    <w:rsid w:val="00F90930"/>
    <w:rsid w:val="00F930BE"/>
    <w:rsid w:val="00F9530A"/>
    <w:rsid w:val="00F9782D"/>
    <w:rsid w:val="00FA0BA8"/>
    <w:rsid w:val="00FA719A"/>
    <w:rsid w:val="00FB1EFC"/>
    <w:rsid w:val="00FD0A25"/>
    <w:rsid w:val="00FD4731"/>
    <w:rsid w:val="00FE70AE"/>
    <w:rsid w:val="00FF2AB3"/>
    <w:rsid w:val="00FF398A"/>
    <w:rsid w:val="00FF4E0F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53EF7637"/>
  <w15:docId w15:val="{D509B34C-8AFD-4BED-AFA5-1F4E5C9C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1048DE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048DE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048DE"/>
    <w:pPr>
      <w:numPr>
        <w:ilvl w:val="2"/>
      </w:numPr>
      <w:spacing w:before="120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048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048DE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1048DE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87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an@ics-kv.cz?subject=RE:%20Technick&#225;%20zpr&#225;va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uoou.cz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beran@ics-kv.cz?subject=RE:%20Technick&#225;%20zpr&#225;va" TargetMode="Externa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6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CE0C9-125F-4108-A9A5-DE0F7E01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1526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Dobranský</cp:lastModifiedBy>
  <cp:revision>10</cp:revision>
  <cp:lastPrinted>2014-01-28T06:15:00Z</cp:lastPrinted>
  <dcterms:created xsi:type="dcterms:W3CDTF">2019-04-03T08:49:00Z</dcterms:created>
  <dcterms:modified xsi:type="dcterms:W3CDTF">2020-04-01T08:54:00Z</dcterms:modified>
</cp:coreProperties>
</file>